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177E" w:rsidRPr="00C6177E" w:rsidRDefault="00E36A4A" w:rsidP="00C6177E">
      <w:pPr>
        <w:rPr>
          <w:rFonts w:ascii="Book Antiqua" w:hAnsi="Book Antiqua"/>
          <w:sz w:val="20"/>
        </w:rPr>
      </w:pPr>
      <w:r>
        <w:rPr>
          <w:rFonts w:ascii="Book Antiqua" w:hAnsi="Book Antiqua"/>
          <w:sz w:val="20"/>
        </w:rPr>
        <w:t>JL 21</w:t>
      </w:r>
      <w:r w:rsidR="00C6177E">
        <w:rPr>
          <w:rFonts w:ascii="Book Antiqua" w:hAnsi="Book Antiqua"/>
          <w:sz w:val="20"/>
        </w:rPr>
        <w:t xml:space="preserve"> février 2016</w:t>
      </w:r>
    </w:p>
    <w:p w:rsidR="00CD1BB2" w:rsidRPr="00B73D27" w:rsidRDefault="00C6177E" w:rsidP="00B73D27">
      <w:pPr>
        <w:pBdr>
          <w:top w:val="single" w:sz="4" w:space="1" w:color="auto"/>
          <w:left w:val="single" w:sz="4" w:space="4" w:color="auto"/>
          <w:bottom w:val="single" w:sz="4" w:space="1" w:color="auto"/>
          <w:right w:val="single" w:sz="4" w:space="4" w:color="auto"/>
        </w:pBdr>
        <w:jc w:val="center"/>
        <w:rPr>
          <w:rFonts w:ascii="Book Antiqua" w:hAnsi="Book Antiqua"/>
          <w:b/>
          <w:sz w:val="28"/>
        </w:rPr>
      </w:pPr>
      <w:r w:rsidRPr="00B73D27">
        <w:rPr>
          <w:rFonts w:ascii="Book Antiqua" w:hAnsi="Book Antiqua"/>
          <w:b/>
          <w:sz w:val="28"/>
        </w:rPr>
        <w:t>Les accords de libre-échange : TPP, TTIP</w:t>
      </w:r>
    </w:p>
    <w:p w:rsidR="00C6177E" w:rsidRDefault="00C6177E">
      <w:pPr>
        <w:rPr>
          <w:rFonts w:ascii="Book Antiqua" w:hAnsi="Book Antiqua"/>
          <w:sz w:val="24"/>
        </w:rPr>
      </w:pPr>
    </w:p>
    <w:p w:rsidR="00C6177E" w:rsidRDefault="00C6177E" w:rsidP="00065BB5">
      <w:pPr>
        <w:spacing w:after="0" w:line="240" w:lineRule="auto"/>
        <w:rPr>
          <w:rFonts w:ascii="Book Antiqua" w:hAnsi="Book Antiqua"/>
          <w:b/>
          <w:sz w:val="24"/>
          <w:szCs w:val="24"/>
        </w:rPr>
      </w:pPr>
      <w:r w:rsidRPr="00065BB5">
        <w:rPr>
          <w:rFonts w:ascii="Book Antiqua" w:hAnsi="Book Antiqua"/>
          <w:b/>
          <w:sz w:val="24"/>
          <w:szCs w:val="24"/>
        </w:rPr>
        <w:t>L’accord de partenariat transpacifique (TPP</w:t>
      </w:r>
      <w:r w:rsidR="00065BB5" w:rsidRPr="00065BB5">
        <w:rPr>
          <w:rFonts w:ascii="Book Antiqua" w:hAnsi="Book Antiqua"/>
          <w:b/>
          <w:sz w:val="24"/>
          <w:szCs w:val="24"/>
        </w:rPr>
        <w:t>)</w:t>
      </w:r>
    </w:p>
    <w:p w:rsidR="00065BB5" w:rsidRPr="00065BB5" w:rsidRDefault="00065BB5" w:rsidP="00065BB5">
      <w:pPr>
        <w:spacing w:after="0" w:line="240" w:lineRule="auto"/>
        <w:rPr>
          <w:rFonts w:ascii="Book Antiqua" w:hAnsi="Book Antiqua"/>
          <w:b/>
          <w:sz w:val="24"/>
          <w:szCs w:val="24"/>
        </w:rPr>
      </w:pPr>
    </w:p>
    <w:p w:rsidR="00065BB5" w:rsidRPr="00065BB5" w:rsidRDefault="00C6177E" w:rsidP="00065BB5">
      <w:pPr>
        <w:spacing w:after="0" w:line="240" w:lineRule="auto"/>
        <w:jc w:val="both"/>
        <w:rPr>
          <w:rFonts w:ascii="Book Antiqua" w:hAnsi="Book Antiqua" w:cs="Arial"/>
          <w:sz w:val="24"/>
          <w:szCs w:val="24"/>
        </w:rPr>
      </w:pPr>
      <w:r w:rsidRPr="00065BB5">
        <w:rPr>
          <w:rFonts w:ascii="Book Antiqua" w:eastAsia="Times New Roman" w:hAnsi="Book Antiqua" w:cs="Arial"/>
          <w:bCs/>
          <w:sz w:val="24"/>
          <w:szCs w:val="24"/>
          <w:lang w:eastAsia="fr-FR"/>
        </w:rPr>
        <w:t>L’accord de partenariat transpacifique (TPP) a été signé le 4 février</w:t>
      </w:r>
      <w:r w:rsidR="00065BB5" w:rsidRPr="00065BB5">
        <w:rPr>
          <w:rFonts w:ascii="Book Antiqua" w:eastAsia="Times New Roman" w:hAnsi="Book Antiqua" w:cs="Arial"/>
          <w:bCs/>
          <w:sz w:val="24"/>
          <w:szCs w:val="24"/>
          <w:lang w:eastAsia="fr-FR"/>
        </w:rPr>
        <w:t xml:space="preserve"> 2016</w:t>
      </w:r>
      <w:r w:rsidRPr="00065BB5">
        <w:rPr>
          <w:rFonts w:ascii="Book Antiqua" w:eastAsia="Times New Roman" w:hAnsi="Book Antiqua" w:cs="Arial"/>
          <w:bCs/>
          <w:sz w:val="24"/>
          <w:szCs w:val="24"/>
          <w:lang w:eastAsia="fr-FR"/>
        </w:rPr>
        <w:t xml:space="preserve"> en Nouvelle-Zélande par les ministres du Commerce et de l’Éc</w:t>
      </w:r>
      <w:r w:rsidR="00065BB5" w:rsidRPr="00065BB5">
        <w:rPr>
          <w:rFonts w:ascii="Book Antiqua" w:eastAsia="Times New Roman" w:hAnsi="Book Antiqua" w:cs="Arial"/>
          <w:bCs/>
          <w:sz w:val="24"/>
          <w:szCs w:val="24"/>
          <w:lang w:eastAsia="fr-FR"/>
        </w:rPr>
        <w:t xml:space="preserve">onomie des 12 pays partenaires : </w:t>
      </w:r>
      <w:r w:rsidR="00065BB5" w:rsidRPr="00065BB5">
        <w:rPr>
          <w:rFonts w:ascii="Book Antiqua" w:hAnsi="Book Antiqua" w:cs="Arial"/>
          <w:sz w:val="24"/>
          <w:szCs w:val="24"/>
        </w:rPr>
        <w:t>l'Australie, le Brunei, le Canada, le Chili, le Japon, la Malaisie, le Mexique, la Nouvelle-Zélande, le Pérou, Singapour, les États-Unis et le Vietnam.</w:t>
      </w:r>
    </w:p>
    <w:p w:rsidR="00065BB5" w:rsidRPr="00065BB5" w:rsidRDefault="00065BB5" w:rsidP="00065BB5">
      <w:pPr>
        <w:spacing w:after="0" w:line="240" w:lineRule="auto"/>
        <w:rPr>
          <w:rFonts w:ascii="Book Antiqua" w:hAnsi="Book Antiqua" w:cs="Arial"/>
          <w:color w:val="000000"/>
          <w:sz w:val="24"/>
          <w:szCs w:val="24"/>
        </w:rPr>
      </w:pPr>
    </w:p>
    <w:p w:rsidR="00C6177E" w:rsidRPr="00065BB5" w:rsidRDefault="00C6177E" w:rsidP="00065BB5">
      <w:pPr>
        <w:spacing w:after="0" w:line="240" w:lineRule="auto"/>
        <w:rPr>
          <w:rFonts w:ascii="Book Antiqua" w:hAnsi="Book Antiqua"/>
          <w:sz w:val="24"/>
          <w:szCs w:val="24"/>
        </w:rPr>
      </w:pPr>
      <w:r w:rsidRPr="00065BB5">
        <w:rPr>
          <w:rFonts w:ascii="Book Antiqua" w:hAnsi="Book Antiqua" w:cs="Arial"/>
          <w:color w:val="000000"/>
          <w:sz w:val="24"/>
          <w:szCs w:val="24"/>
        </w:rPr>
        <w:t>Le TPP vise à abattre les barrières au commerce et à l'investissement entre ses membres qui représentent près de 40% du PIB mondial.</w:t>
      </w:r>
      <w:r w:rsidRPr="00065BB5">
        <w:rPr>
          <w:rFonts w:ascii="Book Antiqua" w:hAnsi="Book Antiqua" w:cs="Arial"/>
          <w:color w:val="000000"/>
          <w:sz w:val="24"/>
          <w:szCs w:val="24"/>
        </w:rPr>
        <w:br/>
      </w:r>
      <w:r w:rsidRPr="00065BB5">
        <w:rPr>
          <w:rFonts w:ascii="Book Antiqua" w:hAnsi="Book Antiqua" w:cs="Arial"/>
          <w:color w:val="000000"/>
          <w:sz w:val="24"/>
          <w:szCs w:val="24"/>
        </w:rPr>
        <w:br/>
        <w:t>Le président américain, Barack Obama, a salué dans un communiqué publié à Washington la signature de cet accord qui renforcera le leadership américain à l'étranger et soutiendra les emplois aux États-Unis.</w:t>
      </w:r>
      <w:r w:rsidRPr="00065BB5">
        <w:rPr>
          <w:rFonts w:ascii="Book Antiqua" w:hAnsi="Book Antiqua" w:cs="Arial"/>
          <w:color w:val="000000"/>
          <w:sz w:val="24"/>
          <w:szCs w:val="24"/>
        </w:rPr>
        <w:br/>
      </w:r>
      <w:r w:rsidRPr="00065BB5">
        <w:rPr>
          <w:rFonts w:ascii="Book Antiqua" w:hAnsi="Book Antiqua" w:cs="Arial"/>
          <w:color w:val="000000"/>
          <w:sz w:val="24"/>
          <w:szCs w:val="24"/>
        </w:rPr>
        <w:br/>
        <w:t>Pour entrer en vigueur, cet accord, qui crée la plus vaste zone de libre-échange au monde, doit</w:t>
      </w:r>
      <w:r w:rsidR="00065BB5">
        <w:rPr>
          <w:rFonts w:ascii="Book Antiqua" w:hAnsi="Book Antiqua" w:cs="Arial"/>
          <w:color w:val="000000"/>
          <w:sz w:val="24"/>
          <w:szCs w:val="24"/>
        </w:rPr>
        <w:t xml:space="preserve"> être ratifié sous deux ans par les Parlements nationaux des 12 pays concernés.</w:t>
      </w:r>
    </w:p>
    <w:p w:rsidR="00C6177E" w:rsidRPr="00065BB5" w:rsidRDefault="00C6177E" w:rsidP="00065BB5">
      <w:pPr>
        <w:spacing w:after="0" w:line="240" w:lineRule="auto"/>
        <w:rPr>
          <w:rFonts w:ascii="Book Antiqua" w:hAnsi="Book Antiqua"/>
          <w:sz w:val="24"/>
          <w:szCs w:val="24"/>
        </w:rPr>
      </w:pPr>
    </w:p>
    <w:p w:rsidR="00C6177E" w:rsidRPr="00E42701" w:rsidRDefault="00E42701" w:rsidP="00E42701">
      <w:pPr>
        <w:pBdr>
          <w:top w:val="single" w:sz="4" w:space="1" w:color="auto"/>
          <w:left w:val="single" w:sz="4" w:space="4" w:color="auto"/>
          <w:bottom w:val="single" w:sz="4" w:space="1" w:color="auto"/>
          <w:right w:val="single" w:sz="4" w:space="4" w:color="auto"/>
        </w:pBdr>
        <w:spacing w:after="0" w:line="240" w:lineRule="auto"/>
        <w:rPr>
          <w:rFonts w:ascii="Book Antiqua" w:hAnsi="Book Antiqua"/>
          <w:sz w:val="20"/>
          <w:szCs w:val="20"/>
        </w:rPr>
      </w:pPr>
      <w:r w:rsidRPr="00E42701">
        <w:rPr>
          <w:rStyle w:val="Strong"/>
          <w:rFonts w:ascii="Book Antiqua" w:hAnsi="Book Antiqua" w:cs="Arial"/>
          <w:b w:val="0"/>
          <w:sz w:val="20"/>
          <w:szCs w:val="20"/>
        </w:rPr>
        <w:t>Selon</w:t>
      </w:r>
      <w:r w:rsidRPr="00E42701">
        <w:rPr>
          <w:rStyle w:val="Strong"/>
          <w:rFonts w:ascii="Book Antiqua" w:hAnsi="Book Antiqua" w:cs="Arial"/>
          <w:sz w:val="20"/>
          <w:szCs w:val="20"/>
        </w:rPr>
        <w:t xml:space="preserve"> </w:t>
      </w:r>
      <w:r w:rsidRPr="00E42701">
        <w:rPr>
          <w:rStyle w:val="Strong"/>
          <w:rFonts w:ascii="Book Antiqua" w:hAnsi="Book Antiqua" w:cs="Arial"/>
          <w:color w:val="71778C"/>
          <w:sz w:val="20"/>
          <w:szCs w:val="20"/>
        </w:rPr>
        <w:t>Bruno Wattenbergh, chroniqueur économique sur Bel RTL</w:t>
      </w:r>
      <w:r w:rsidRPr="00E42701">
        <w:rPr>
          <w:rFonts w:ascii="Book Antiqua" w:hAnsi="Book Antiqua" w:cs="Arial"/>
          <w:color w:val="71778C"/>
          <w:sz w:val="20"/>
          <w:szCs w:val="20"/>
        </w:rPr>
        <w:t xml:space="preserve">, publié le </w:t>
      </w:r>
      <w:r w:rsidRPr="00E42701">
        <w:rPr>
          <w:rStyle w:val="update-date"/>
          <w:rFonts w:ascii="Book Antiqua" w:hAnsi="Book Antiqua" w:cs="Arial"/>
          <w:color w:val="71778C"/>
          <w:sz w:val="20"/>
          <w:szCs w:val="20"/>
        </w:rPr>
        <w:t>05 février 2016</w:t>
      </w:r>
    </w:p>
    <w:p w:rsidR="00E42701" w:rsidRDefault="00E42701" w:rsidP="00E42701">
      <w:pPr>
        <w:pBdr>
          <w:top w:val="single" w:sz="4" w:space="1" w:color="auto"/>
          <w:left w:val="single" w:sz="4" w:space="4" w:color="auto"/>
          <w:bottom w:val="single" w:sz="4" w:space="1" w:color="auto"/>
          <w:right w:val="single" w:sz="4" w:space="4" w:color="auto"/>
        </w:pBdr>
        <w:shd w:val="clear" w:color="auto" w:fill="FFFFFF"/>
        <w:spacing w:after="0" w:line="240" w:lineRule="auto"/>
        <w:rPr>
          <w:rFonts w:ascii="Book Antiqua" w:hAnsi="Book Antiqua" w:cs="Arial"/>
          <w:b/>
          <w:bCs/>
          <w:color w:val="000000"/>
          <w:sz w:val="20"/>
          <w:szCs w:val="20"/>
        </w:rPr>
      </w:pPr>
    </w:p>
    <w:p w:rsidR="00E42701" w:rsidRPr="00E42701" w:rsidRDefault="00E42701" w:rsidP="00E42701">
      <w:pPr>
        <w:pBdr>
          <w:top w:val="single" w:sz="4" w:space="1" w:color="auto"/>
          <w:left w:val="single" w:sz="4" w:space="4" w:color="auto"/>
          <w:bottom w:val="single" w:sz="4" w:space="1" w:color="auto"/>
          <w:right w:val="single" w:sz="4" w:space="4" w:color="auto"/>
        </w:pBdr>
        <w:shd w:val="clear" w:color="auto" w:fill="FFFFFF"/>
        <w:spacing w:after="0" w:line="240" w:lineRule="auto"/>
        <w:rPr>
          <w:rFonts w:ascii="Book Antiqua" w:hAnsi="Book Antiqua" w:cs="Arial"/>
          <w:color w:val="000000"/>
          <w:sz w:val="20"/>
          <w:szCs w:val="20"/>
        </w:rPr>
      </w:pPr>
      <w:r w:rsidRPr="00E42701">
        <w:rPr>
          <w:rFonts w:ascii="Book Antiqua" w:hAnsi="Book Antiqua" w:cs="Arial"/>
          <w:b/>
          <w:bCs/>
          <w:color w:val="000000"/>
          <w:sz w:val="20"/>
          <w:szCs w:val="20"/>
        </w:rPr>
        <w:t>Revenons à cet accord transpacifique signé hier, que représente-t-il ?</w:t>
      </w:r>
      <w:r w:rsidRPr="00E42701">
        <w:rPr>
          <w:rFonts w:ascii="Book Antiqua" w:hAnsi="Book Antiqua" w:cs="Arial"/>
          <w:b/>
          <w:bCs/>
          <w:color w:val="000000"/>
          <w:sz w:val="20"/>
          <w:szCs w:val="20"/>
        </w:rPr>
        <w:br/>
      </w:r>
      <w:r w:rsidRPr="00E42701">
        <w:rPr>
          <w:rFonts w:ascii="Book Antiqua" w:hAnsi="Book Antiqua" w:cs="Arial"/>
          <w:b/>
          <w:bCs/>
          <w:color w:val="000000"/>
          <w:sz w:val="20"/>
          <w:szCs w:val="20"/>
        </w:rPr>
        <w:br/>
      </w:r>
      <w:r w:rsidRPr="00E42701">
        <w:rPr>
          <w:rFonts w:ascii="Book Antiqua" w:hAnsi="Book Antiqua" w:cs="Arial"/>
          <w:color w:val="000000"/>
          <w:sz w:val="20"/>
          <w:szCs w:val="20"/>
        </w:rPr>
        <w:t>D’abord la création de la plus vaste zone de libre-échange au monde, un accord qui concerne 40% de l’économie mondiale, qui recouvre 12 pays, des petits comme le sultanat de Brunei, mais aussi d’immenses nations comme l'Australie ou les États-Unis, des pays industriels et innovants, comme le Japon, le Canada ou Singapour, ou des pays émergents prometteurs comme le Chili, le Vietnam, le Pérou, la Malaisie, le Mexique, ou encore la Nouvelle-Zélande. Ensuite, 5 longues et compliquées années de négociation qui ont vu l’écartement de la Chine qui ne fera donc pas partie d’un accord que l’on peut considérer comme le grand-frère du controversé</w:t>
      </w:r>
      <w:r>
        <w:rPr>
          <w:rFonts w:ascii="Book Antiqua" w:hAnsi="Book Antiqua" w:cs="Arial"/>
          <w:color w:val="000000"/>
          <w:sz w:val="20"/>
          <w:szCs w:val="20"/>
        </w:rPr>
        <w:t xml:space="preserve"> et encore en discussion traité</w:t>
      </w:r>
      <w:r w:rsidRPr="00E42701">
        <w:rPr>
          <w:rFonts w:ascii="Book Antiqua" w:hAnsi="Book Antiqua" w:cs="Arial"/>
          <w:color w:val="000000"/>
          <w:sz w:val="20"/>
          <w:szCs w:val="20"/>
        </w:rPr>
        <w:t xml:space="preserve"> transatlantique. Enfin, ce traité préfigure l’évolution du commerce mondial dans les prochaines décennies.</w:t>
      </w:r>
    </w:p>
    <w:p w:rsidR="00E42701" w:rsidRDefault="00E42701" w:rsidP="00E42701">
      <w:pPr>
        <w:pBdr>
          <w:top w:val="single" w:sz="4" w:space="1" w:color="auto"/>
          <w:left w:val="single" w:sz="4" w:space="4" w:color="auto"/>
          <w:bottom w:val="single" w:sz="4" w:space="1" w:color="auto"/>
          <w:right w:val="single" w:sz="4" w:space="4" w:color="auto"/>
        </w:pBdr>
        <w:spacing w:after="0" w:line="240" w:lineRule="auto"/>
        <w:rPr>
          <w:rFonts w:ascii="Book Antiqua" w:hAnsi="Book Antiqua" w:cs="Arial"/>
          <w:b/>
          <w:bCs/>
          <w:color w:val="000000"/>
          <w:sz w:val="20"/>
          <w:szCs w:val="20"/>
        </w:rPr>
      </w:pPr>
    </w:p>
    <w:p w:rsidR="00734DB0" w:rsidRDefault="00E42701" w:rsidP="00E42701">
      <w:pPr>
        <w:pBdr>
          <w:top w:val="single" w:sz="4" w:space="1" w:color="auto"/>
          <w:left w:val="single" w:sz="4" w:space="4" w:color="auto"/>
          <w:bottom w:val="single" w:sz="4" w:space="1" w:color="auto"/>
          <w:right w:val="single" w:sz="4" w:space="4" w:color="auto"/>
        </w:pBdr>
        <w:spacing w:after="0" w:line="240" w:lineRule="auto"/>
        <w:rPr>
          <w:rFonts w:ascii="Book Antiqua" w:hAnsi="Book Antiqua" w:cs="Arial"/>
          <w:color w:val="000000"/>
          <w:sz w:val="20"/>
          <w:szCs w:val="20"/>
        </w:rPr>
      </w:pPr>
      <w:r w:rsidRPr="00E42701">
        <w:rPr>
          <w:rFonts w:ascii="Book Antiqua" w:hAnsi="Book Antiqua" w:cs="Arial"/>
          <w:b/>
          <w:bCs/>
          <w:color w:val="000000"/>
          <w:sz w:val="20"/>
          <w:szCs w:val="20"/>
        </w:rPr>
        <w:t>Concrètement que permet-il ?</w:t>
      </w:r>
      <w:r w:rsidRPr="00E42701">
        <w:rPr>
          <w:rFonts w:ascii="Book Antiqua" w:hAnsi="Book Antiqua" w:cs="Arial"/>
          <w:b/>
          <w:bCs/>
          <w:color w:val="000000"/>
          <w:sz w:val="20"/>
          <w:szCs w:val="20"/>
        </w:rPr>
        <w:br/>
      </w:r>
      <w:r w:rsidRPr="00E42701">
        <w:rPr>
          <w:rFonts w:ascii="Book Antiqua" w:hAnsi="Book Antiqua" w:cs="Arial"/>
          <w:b/>
          <w:bCs/>
          <w:color w:val="000000"/>
          <w:sz w:val="20"/>
          <w:szCs w:val="20"/>
        </w:rPr>
        <w:br/>
      </w:r>
      <w:r w:rsidRPr="00E42701">
        <w:rPr>
          <w:rFonts w:ascii="Book Antiqua" w:hAnsi="Book Antiqua" w:cs="Arial"/>
          <w:color w:val="000000"/>
          <w:sz w:val="20"/>
          <w:szCs w:val="20"/>
        </w:rPr>
        <w:t>Un chiffre unique et simple : ce traité abolirait 98% des tarifs douaniers entr</w:t>
      </w:r>
      <w:r>
        <w:rPr>
          <w:rFonts w:ascii="Book Antiqua" w:hAnsi="Book Antiqua" w:cs="Arial"/>
          <w:color w:val="000000"/>
          <w:sz w:val="20"/>
          <w:szCs w:val="20"/>
        </w:rPr>
        <w:t xml:space="preserve">e les douze États signataires. </w:t>
      </w:r>
    </w:p>
    <w:p w:rsidR="00734DB0" w:rsidRDefault="00734DB0" w:rsidP="00E42701">
      <w:pPr>
        <w:pBdr>
          <w:top w:val="single" w:sz="4" w:space="1" w:color="auto"/>
          <w:left w:val="single" w:sz="4" w:space="4" w:color="auto"/>
          <w:bottom w:val="single" w:sz="4" w:space="1" w:color="auto"/>
          <w:right w:val="single" w:sz="4" w:space="4" w:color="auto"/>
        </w:pBdr>
        <w:spacing w:after="0" w:line="240" w:lineRule="auto"/>
        <w:rPr>
          <w:rFonts w:ascii="Book Antiqua" w:hAnsi="Book Antiqua" w:cs="Arial"/>
          <w:color w:val="000000"/>
          <w:sz w:val="20"/>
          <w:szCs w:val="20"/>
        </w:rPr>
      </w:pPr>
    </w:p>
    <w:p w:rsidR="00C6177E" w:rsidRDefault="00734DB0" w:rsidP="00E42701">
      <w:pPr>
        <w:pBdr>
          <w:top w:val="single" w:sz="4" w:space="1" w:color="auto"/>
          <w:left w:val="single" w:sz="4" w:space="4" w:color="auto"/>
          <w:bottom w:val="single" w:sz="4" w:space="1" w:color="auto"/>
          <w:right w:val="single" w:sz="4" w:space="4" w:color="auto"/>
        </w:pBdr>
        <w:spacing w:after="0" w:line="240" w:lineRule="auto"/>
        <w:rPr>
          <w:rFonts w:ascii="Book Antiqua" w:hAnsi="Book Antiqua" w:cs="Arial"/>
          <w:b/>
          <w:bCs/>
          <w:color w:val="000000"/>
          <w:sz w:val="20"/>
          <w:szCs w:val="21"/>
        </w:rPr>
      </w:pPr>
      <w:r w:rsidRPr="00734DB0">
        <w:rPr>
          <w:rFonts w:ascii="Book Antiqua" w:hAnsi="Book Antiqua" w:cs="Arial"/>
          <w:b/>
          <w:bCs/>
          <w:color w:val="000000"/>
          <w:sz w:val="20"/>
          <w:szCs w:val="21"/>
        </w:rPr>
        <w:t>Quels sont les secteurs impactés par cet accord ?</w:t>
      </w:r>
    </w:p>
    <w:p w:rsidR="00734DB0" w:rsidRPr="00734DB0" w:rsidRDefault="00734DB0" w:rsidP="00E42701">
      <w:pPr>
        <w:pBdr>
          <w:top w:val="single" w:sz="4" w:space="1" w:color="auto"/>
          <w:left w:val="single" w:sz="4" w:space="4" w:color="auto"/>
          <w:bottom w:val="single" w:sz="4" w:space="1" w:color="auto"/>
          <w:right w:val="single" w:sz="4" w:space="4" w:color="auto"/>
        </w:pBdr>
        <w:spacing w:after="0" w:line="240" w:lineRule="auto"/>
        <w:rPr>
          <w:rFonts w:ascii="Book Antiqua" w:hAnsi="Book Antiqua" w:cs="Arial"/>
          <w:b/>
          <w:bCs/>
          <w:color w:val="000000"/>
          <w:sz w:val="20"/>
          <w:szCs w:val="21"/>
        </w:rPr>
      </w:pPr>
    </w:p>
    <w:p w:rsidR="00734DB0" w:rsidRDefault="00734DB0" w:rsidP="00E42701">
      <w:pPr>
        <w:pBdr>
          <w:top w:val="single" w:sz="4" w:space="1" w:color="auto"/>
          <w:left w:val="single" w:sz="4" w:space="4" w:color="auto"/>
          <w:bottom w:val="single" w:sz="4" w:space="1" w:color="auto"/>
          <w:right w:val="single" w:sz="4" w:space="4" w:color="auto"/>
        </w:pBdr>
        <w:spacing w:after="0" w:line="240" w:lineRule="auto"/>
        <w:rPr>
          <w:rFonts w:ascii="Book Antiqua" w:hAnsi="Book Antiqua" w:cs="Arial"/>
          <w:color w:val="000000"/>
          <w:sz w:val="20"/>
          <w:szCs w:val="20"/>
        </w:rPr>
      </w:pPr>
      <w:r w:rsidRPr="00E42701">
        <w:rPr>
          <w:rFonts w:ascii="Book Antiqua" w:hAnsi="Book Antiqua" w:cs="Arial"/>
          <w:color w:val="000000"/>
          <w:sz w:val="20"/>
          <w:szCs w:val="21"/>
        </w:rPr>
        <w:t>Il ouvre les marchés des produits agricoles pour le Canada, les États-Unis et le Japon, que cela soit pour le sucre, le riz, le fromage ou le bœuf. Il concerne aussi des secteurs comme l'échange de données et la propriété intellectuelle qui n'étaient pas couverts par de précédents accords multilatéraux. Bref toute l’économie ou presque.</w:t>
      </w:r>
    </w:p>
    <w:p w:rsidR="007358EB" w:rsidRDefault="007358EB" w:rsidP="0093325B">
      <w:pPr>
        <w:spacing w:after="0" w:line="360" w:lineRule="atLeast"/>
        <w:rPr>
          <w:rFonts w:ascii="Arial" w:hAnsi="Arial" w:cs="Arial"/>
          <w:b/>
          <w:bCs/>
          <w:color w:val="000000"/>
          <w:sz w:val="21"/>
          <w:szCs w:val="21"/>
        </w:rPr>
      </w:pPr>
    </w:p>
    <w:p w:rsidR="0093325B" w:rsidRDefault="007358EB" w:rsidP="007358EB">
      <w:pPr>
        <w:spacing w:after="0" w:line="360" w:lineRule="atLeast"/>
        <w:rPr>
          <w:rFonts w:ascii="Book Antiqua" w:hAnsi="Book Antiqua"/>
          <w:sz w:val="24"/>
          <w:szCs w:val="24"/>
        </w:rPr>
      </w:pPr>
      <w:r>
        <w:rPr>
          <w:rFonts w:ascii="Book Antiqua" w:eastAsia="Times New Roman" w:hAnsi="Book Antiqua" w:cs="Times New Roman"/>
          <w:sz w:val="24"/>
          <w:szCs w:val="24"/>
          <w:lang w:eastAsia="fr-FR"/>
        </w:rPr>
        <w:lastRenderedPageBreak/>
        <w:t>Selon un article de L’Humanité (m</w:t>
      </w:r>
      <w:r w:rsidR="0093325B" w:rsidRPr="0093325B">
        <w:rPr>
          <w:rFonts w:ascii="Book Antiqua" w:eastAsia="Times New Roman" w:hAnsi="Book Antiqua" w:cs="Times New Roman"/>
          <w:sz w:val="24"/>
          <w:szCs w:val="24"/>
          <w:lang w:eastAsia="fr-FR"/>
        </w:rPr>
        <w:t>ercredi, 7 Octobre, 2015</w:t>
      </w:r>
      <w:r>
        <w:rPr>
          <w:rFonts w:ascii="Book Antiqua" w:eastAsia="Times New Roman" w:hAnsi="Book Antiqua" w:cs="Times New Roman"/>
          <w:sz w:val="24"/>
          <w:szCs w:val="24"/>
          <w:lang w:eastAsia="fr-FR"/>
        </w:rPr>
        <w:t>), s</w:t>
      </w:r>
      <w:r w:rsidR="0093325B" w:rsidRPr="0093325B">
        <w:rPr>
          <w:rFonts w:ascii="Book Antiqua" w:hAnsi="Book Antiqua"/>
          <w:sz w:val="24"/>
          <w:szCs w:val="24"/>
        </w:rPr>
        <w:t>i le TPP est ratifié par les parlements nationaux des douze pays, la stratégie de pivot vers l’Asie de Barack Obama aura franchi un pas considérable dans sa volonté de contrebalancer l’influence grandissante de la Chine et de son projet de ceinture économique de la route de la soie dont font partie une série de pays concernés par le TPP. «</w:t>
      </w:r>
      <w:r w:rsidR="0093325B" w:rsidRPr="0093325B">
        <w:rPr>
          <w:rFonts w:ascii="Times New Roman" w:hAnsi="Times New Roman" w:cs="Times New Roman"/>
          <w:sz w:val="24"/>
          <w:szCs w:val="24"/>
        </w:rPr>
        <w:t> </w:t>
      </w:r>
      <w:r w:rsidR="0093325B" w:rsidRPr="0093325B">
        <w:rPr>
          <w:rFonts w:ascii="Book Antiqua" w:hAnsi="Book Antiqua"/>
          <w:sz w:val="24"/>
          <w:szCs w:val="24"/>
        </w:rPr>
        <w:t>C</w:t>
      </w:r>
      <w:r w:rsidR="0093325B" w:rsidRPr="0093325B">
        <w:rPr>
          <w:rFonts w:ascii="Book Antiqua" w:hAnsi="Book Antiqua" w:cs="Book Antiqua"/>
          <w:sz w:val="24"/>
          <w:szCs w:val="24"/>
        </w:rPr>
        <w:t>’</w:t>
      </w:r>
      <w:r w:rsidR="0093325B" w:rsidRPr="0093325B">
        <w:rPr>
          <w:rFonts w:ascii="Book Antiqua" w:hAnsi="Book Antiqua"/>
          <w:sz w:val="24"/>
          <w:szCs w:val="24"/>
        </w:rPr>
        <w:t>est un aboutissement majeur non seulement pour le Japon mais aussi pour l’avenir de la zone Asie-Pacifique</w:t>
      </w:r>
      <w:r w:rsidR="0093325B" w:rsidRPr="0093325B">
        <w:rPr>
          <w:rFonts w:ascii="Times New Roman" w:hAnsi="Times New Roman" w:cs="Times New Roman"/>
          <w:sz w:val="24"/>
          <w:szCs w:val="24"/>
        </w:rPr>
        <w:t> </w:t>
      </w:r>
      <w:r w:rsidR="0093325B" w:rsidRPr="0093325B">
        <w:rPr>
          <w:rFonts w:ascii="Book Antiqua" w:hAnsi="Book Antiqua" w:cs="Book Antiqua"/>
          <w:sz w:val="24"/>
          <w:szCs w:val="24"/>
        </w:rPr>
        <w:t>»</w:t>
      </w:r>
      <w:r w:rsidR="0093325B" w:rsidRPr="0093325B">
        <w:rPr>
          <w:rFonts w:ascii="Book Antiqua" w:hAnsi="Book Antiqua"/>
          <w:sz w:val="24"/>
          <w:szCs w:val="24"/>
        </w:rPr>
        <w:t>, s</w:t>
      </w:r>
      <w:r w:rsidR="0093325B" w:rsidRPr="0093325B">
        <w:rPr>
          <w:rFonts w:ascii="Book Antiqua" w:hAnsi="Book Antiqua" w:cs="Book Antiqua"/>
          <w:sz w:val="24"/>
          <w:szCs w:val="24"/>
        </w:rPr>
        <w:t>’</w:t>
      </w:r>
      <w:r w:rsidR="0093325B" w:rsidRPr="0093325B">
        <w:rPr>
          <w:rFonts w:ascii="Book Antiqua" w:hAnsi="Book Antiqua"/>
          <w:sz w:val="24"/>
          <w:szCs w:val="24"/>
        </w:rPr>
        <w:t>est f</w:t>
      </w:r>
      <w:r w:rsidR="0093325B" w:rsidRPr="0093325B">
        <w:rPr>
          <w:rFonts w:ascii="Book Antiqua" w:hAnsi="Book Antiqua" w:cs="Book Antiqua"/>
          <w:sz w:val="24"/>
          <w:szCs w:val="24"/>
        </w:rPr>
        <w:t>é</w:t>
      </w:r>
      <w:r w:rsidR="0093325B" w:rsidRPr="0093325B">
        <w:rPr>
          <w:rFonts w:ascii="Book Antiqua" w:hAnsi="Book Antiqua"/>
          <w:sz w:val="24"/>
          <w:szCs w:val="24"/>
        </w:rPr>
        <w:t>licit</w:t>
      </w:r>
      <w:r w:rsidR="0093325B" w:rsidRPr="0093325B">
        <w:rPr>
          <w:rFonts w:ascii="Book Antiqua" w:hAnsi="Book Antiqua" w:cs="Book Antiqua"/>
          <w:sz w:val="24"/>
          <w:szCs w:val="24"/>
        </w:rPr>
        <w:t>é</w:t>
      </w:r>
      <w:r w:rsidR="0093325B" w:rsidRPr="0093325B">
        <w:rPr>
          <w:rFonts w:ascii="Book Antiqua" w:hAnsi="Book Antiqua"/>
          <w:sz w:val="24"/>
          <w:szCs w:val="24"/>
        </w:rPr>
        <w:t xml:space="preserve"> le premier ministre japonais, Shinzo Abe, dont le pays est en premi</w:t>
      </w:r>
      <w:r w:rsidR="0093325B" w:rsidRPr="0093325B">
        <w:rPr>
          <w:rFonts w:ascii="Book Antiqua" w:hAnsi="Book Antiqua" w:cs="Book Antiqua"/>
          <w:sz w:val="24"/>
          <w:szCs w:val="24"/>
        </w:rPr>
        <w:t>è</w:t>
      </w:r>
      <w:r w:rsidR="0093325B" w:rsidRPr="0093325B">
        <w:rPr>
          <w:rFonts w:ascii="Book Antiqua" w:hAnsi="Book Antiqua"/>
          <w:sz w:val="24"/>
          <w:szCs w:val="24"/>
        </w:rPr>
        <w:t>re ligne dans la strat</w:t>
      </w:r>
      <w:r w:rsidR="0093325B" w:rsidRPr="0093325B">
        <w:rPr>
          <w:rFonts w:ascii="Book Antiqua" w:hAnsi="Book Antiqua" w:cs="Book Antiqua"/>
          <w:sz w:val="24"/>
          <w:szCs w:val="24"/>
        </w:rPr>
        <w:t>é</w:t>
      </w:r>
      <w:r w:rsidR="0093325B" w:rsidRPr="0093325B">
        <w:rPr>
          <w:rFonts w:ascii="Book Antiqua" w:hAnsi="Book Antiqua"/>
          <w:sz w:val="24"/>
          <w:szCs w:val="24"/>
        </w:rPr>
        <w:t>gie am</w:t>
      </w:r>
      <w:r w:rsidR="0093325B" w:rsidRPr="0093325B">
        <w:rPr>
          <w:rFonts w:ascii="Book Antiqua" w:hAnsi="Book Antiqua" w:cs="Book Antiqua"/>
          <w:sz w:val="24"/>
          <w:szCs w:val="24"/>
        </w:rPr>
        <w:t>é</w:t>
      </w:r>
      <w:r w:rsidR="0093325B" w:rsidRPr="0093325B">
        <w:rPr>
          <w:rFonts w:ascii="Book Antiqua" w:hAnsi="Book Antiqua"/>
          <w:sz w:val="24"/>
          <w:szCs w:val="24"/>
        </w:rPr>
        <w:t>ricaine d</w:t>
      </w:r>
      <w:r w:rsidR="0093325B" w:rsidRPr="0093325B">
        <w:rPr>
          <w:rFonts w:ascii="Book Antiqua" w:hAnsi="Book Antiqua" w:cs="Book Antiqua"/>
          <w:sz w:val="24"/>
          <w:szCs w:val="24"/>
        </w:rPr>
        <w:t>’</w:t>
      </w:r>
      <w:r w:rsidR="0093325B" w:rsidRPr="0093325B">
        <w:rPr>
          <w:rFonts w:ascii="Book Antiqua" w:hAnsi="Book Antiqua"/>
          <w:sz w:val="24"/>
          <w:szCs w:val="24"/>
        </w:rPr>
        <w:t>endiguement de la Chine. Le pr</w:t>
      </w:r>
      <w:r w:rsidR="0093325B" w:rsidRPr="0093325B">
        <w:rPr>
          <w:rFonts w:ascii="Book Antiqua" w:hAnsi="Book Antiqua" w:cs="Book Antiqua"/>
          <w:sz w:val="24"/>
          <w:szCs w:val="24"/>
        </w:rPr>
        <w:t>é</w:t>
      </w:r>
      <w:r w:rsidR="0093325B" w:rsidRPr="0093325B">
        <w:rPr>
          <w:rFonts w:ascii="Book Antiqua" w:hAnsi="Book Antiqua"/>
          <w:sz w:val="24"/>
          <w:szCs w:val="24"/>
        </w:rPr>
        <w:t>sident am</w:t>
      </w:r>
      <w:r w:rsidR="0093325B" w:rsidRPr="0093325B">
        <w:rPr>
          <w:rFonts w:ascii="Book Antiqua" w:hAnsi="Book Antiqua" w:cs="Book Antiqua"/>
          <w:sz w:val="24"/>
          <w:szCs w:val="24"/>
        </w:rPr>
        <w:t>é</w:t>
      </w:r>
      <w:r w:rsidR="0093325B" w:rsidRPr="0093325B">
        <w:rPr>
          <w:rFonts w:ascii="Book Antiqua" w:hAnsi="Book Antiqua"/>
          <w:sz w:val="24"/>
          <w:szCs w:val="24"/>
        </w:rPr>
        <w:t>ricain esp</w:t>
      </w:r>
      <w:r w:rsidR="0093325B" w:rsidRPr="0093325B">
        <w:rPr>
          <w:rFonts w:ascii="Book Antiqua" w:hAnsi="Book Antiqua" w:cs="Book Antiqua"/>
          <w:sz w:val="24"/>
          <w:szCs w:val="24"/>
        </w:rPr>
        <w:t>è</w:t>
      </w:r>
      <w:r w:rsidR="0093325B" w:rsidRPr="0093325B">
        <w:rPr>
          <w:rFonts w:ascii="Book Antiqua" w:hAnsi="Book Antiqua"/>
          <w:sz w:val="24"/>
          <w:szCs w:val="24"/>
        </w:rPr>
        <w:t xml:space="preserve">re </w:t>
      </w:r>
      <w:r w:rsidR="0093325B" w:rsidRPr="0093325B">
        <w:rPr>
          <w:rFonts w:ascii="Book Antiqua" w:hAnsi="Book Antiqua" w:cs="Book Antiqua"/>
          <w:sz w:val="24"/>
          <w:szCs w:val="24"/>
        </w:rPr>
        <w:t>é</w:t>
      </w:r>
      <w:r w:rsidR="0093325B" w:rsidRPr="0093325B">
        <w:rPr>
          <w:rFonts w:ascii="Book Antiqua" w:hAnsi="Book Antiqua"/>
          <w:sz w:val="24"/>
          <w:szCs w:val="24"/>
        </w:rPr>
        <w:t>galement profiter de la dynamique du TPP afin d’accélérer les négociations autour du traité trans</w:t>
      </w:r>
      <w:r w:rsidR="00EE4D41">
        <w:rPr>
          <w:rFonts w:ascii="Book Antiqua" w:hAnsi="Book Antiqua"/>
          <w:sz w:val="24"/>
          <w:szCs w:val="24"/>
        </w:rPr>
        <w:t>atlantique avec l’Europe</w:t>
      </w:r>
      <w:r w:rsidR="00A7539A">
        <w:rPr>
          <w:rFonts w:ascii="Book Antiqua" w:hAnsi="Book Antiqua"/>
          <w:sz w:val="24"/>
          <w:szCs w:val="24"/>
        </w:rPr>
        <w:t>.</w:t>
      </w:r>
    </w:p>
    <w:p w:rsidR="00A7539A" w:rsidRPr="0093325B" w:rsidRDefault="00A7539A" w:rsidP="007358EB">
      <w:pPr>
        <w:spacing w:after="0" w:line="360" w:lineRule="atLeast"/>
        <w:rPr>
          <w:rFonts w:ascii="Book Antiqua" w:hAnsi="Book Antiqua"/>
          <w:sz w:val="24"/>
          <w:szCs w:val="24"/>
        </w:rPr>
      </w:pPr>
    </w:p>
    <w:p w:rsidR="00A7539A" w:rsidRDefault="00A7539A" w:rsidP="00A7539A">
      <w:pPr>
        <w:pStyle w:val="tx"/>
        <w:pBdr>
          <w:top w:val="single" w:sz="4" w:space="1" w:color="auto"/>
          <w:left w:val="single" w:sz="4" w:space="4" w:color="auto"/>
          <w:bottom w:val="single" w:sz="4" w:space="1" w:color="auto"/>
          <w:right w:val="single" w:sz="4" w:space="4" w:color="auto"/>
        </w:pBdr>
        <w:spacing w:before="0" w:after="0"/>
        <w:rPr>
          <w:rFonts w:ascii="Book Antiqua" w:hAnsi="Book Antiqua"/>
          <w:sz w:val="20"/>
        </w:rPr>
      </w:pPr>
      <w:r w:rsidRPr="00A7539A">
        <w:rPr>
          <w:rFonts w:ascii="Book Antiqua" w:hAnsi="Book Antiqua"/>
          <w:sz w:val="20"/>
        </w:rPr>
        <w:t>Lina Sankari</w:t>
      </w:r>
      <w:r w:rsidRPr="00A7539A">
        <w:rPr>
          <w:rFonts w:ascii="Book Antiqua" w:hAnsi="Book Antiqua"/>
          <w:i/>
          <w:sz w:val="20"/>
        </w:rPr>
        <w:t xml:space="preserve">, L’Humanité, </w:t>
      </w:r>
      <w:r w:rsidRPr="00A7539A">
        <w:rPr>
          <w:rFonts w:ascii="Book Antiqua" w:hAnsi="Book Antiqua"/>
          <w:sz w:val="20"/>
        </w:rPr>
        <w:t>7 octobre 2015</w:t>
      </w:r>
    </w:p>
    <w:p w:rsidR="00A7539A" w:rsidRPr="00A7539A" w:rsidRDefault="00A7539A" w:rsidP="00A7539A">
      <w:pPr>
        <w:pStyle w:val="tx"/>
        <w:pBdr>
          <w:top w:val="single" w:sz="4" w:space="1" w:color="auto"/>
          <w:left w:val="single" w:sz="4" w:space="4" w:color="auto"/>
          <w:bottom w:val="single" w:sz="4" w:space="1" w:color="auto"/>
          <w:right w:val="single" w:sz="4" w:space="4" w:color="auto"/>
        </w:pBdr>
        <w:spacing w:before="0" w:after="0"/>
        <w:rPr>
          <w:rFonts w:ascii="Book Antiqua" w:hAnsi="Book Antiqua"/>
          <w:sz w:val="20"/>
        </w:rPr>
      </w:pPr>
    </w:p>
    <w:p w:rsidR="00A7539A" w:rsidRDefault="00A7539A" w:rsidP="00A7539A">
      <w:pPr>
        <w:pStyle w:val="tx"/>
        <w:pBdr>
          <w:top w:val="single" w:sz="4" w:space="1" w:color="auto"/>
          <w:left w:val="single" w:sz="4" w:space="4" w:color="auto"/>
          <w:bottom w:val="single" w:sz="4" w:space="1" w:color="auto"/>
          <w:right w:val="single" w:sz="4" w:space="4" w:color="auto"/>
        </w:pBdr>
        <w:spacing w:before="0" w:after="0"/>
        <w:rPr>
          <w:rFonts w:ascii="Book Antiqua" w:hAnsi="Book Antiqua"/>
          <w:sz w:val="20"/>
        </w:rPr>
      </w:pPr>
      <w:r w:rsidRPr="00A7539A">
        <w:rPr>
          <w:rFonts w:ascii="Book Antiqua" w:hAnsi="Book Antiqua"/>
          <w:sz w:val="20"/>
        </w:rPr>
        <w:t>Quelques voix se sont élevées pour s’inquiéter des conséquences de la signature du TPP. Ainsi, Bernie Sanders, le candidat socialiste à l’investiture démocrate pour la présidentielle américaine, a estimé que «</w:t>
      </w:r>
      <w:r w:rsidRPr="00A7539A">
        <w:rPr>
          <w:sz w:val="20"/>
        </w:rPr>
        <w:t> </w:t>
      </w:r>
      <w:r w:rsidRPr="00A7539A">
        <w:rPr>
          <w:rFonts w:ascii="Book Antiqua" w:hAnsi="Book Antiqua"/>
          <w:sz w:val="20"/>
        </w:rPr>
        <w:t>Wall Street et les grandes entreprises l</w:t>
      </w:r>
      <w:r w:rsidRPr="00A7539A">
        <w:rPr>
          <w:rFonts w:ascii="Book Antiqua" w:hAnsi="Book Antiqua" w:cs="Book Antiqua"/>
          <w:sz w:val="20"/>
        </w:rPr>
        <w:t>’</w:t>
      </w:r>
      <w:r w:rsidRPr="00A7539A">
        <w:rPr>
          <w:rFonts w:ascii="Book Antiqua" w:hAnsi="Book Antiqua"/>
          <w:sz w:val="20"/>
        </w:rPr>
        <w:t>ont une nouvelle fois emport</w:t>
      </w:r>
      <w:r w:rsidRPr="00A7539A">
        <w:rPr>
          <w:rFonts w:ascii="Book Antiqua" w:hAnsi="Book Antiqua" w:cs="Book Antiqua"/>
          <w:sz w:val="20"/>
        </w:rPr>
        <w:t>é</w:t>
      </w:r>
      <w:r w:rsidRPr="00A7539A">
        <w:rPr>
          <w:sz w:val="20"/>
        </w:rPr>
        <w:t> </w:t>
      </w:r>
      <w:r w:rsidRPr="00A7539A">
        <w:rPr>
          <w:rFonts w:ascii="Book Antiqua" w:hAnsi="Book Antiqua" w:cs="Book Antiqua"/>
          <w:sz w:val="20"/>
        </w:rPr>
        <w:t>»</w:t>
      </w:r>
      <w:r w:rsidRPr="00A7539A">
        <w:rPr>
          <w:rFonts w:ascii="Book Antiqua" w:hAnsi="Book Antiqua"/>
          <w:sz w:val="20"/>
        </w:rPr>
        <w:t>. Il est difficile de lui donner tort alors que le TPP emp</w:t>
      </w:r>
      <w:r w:rsidRPr="00A7539A">
        <w:rPr>
          <w:rFonts w:ascii="Book Antiqua" w:hAnsi="Book Antiqua" w:cs="Book Antiqua"/>
          <w:sz w:val="20"/>
        </w:rPr>
        <w:t>ê</w:t>
      </w:r>
      <w:r w:rsidRPr="00A7539A">
        <w:rPr>
          <w:rFonts w:ascii="Book Antiqua" w:hAnsi="Book Antiqua"/>
          <w:sz w:val="20"/>
        </w:rPr>
        <w:t xml:space="preserve">che les </w:t>
      </w:r>
      <w:r w:rsidRPr="00A7539A">
        <w:rPr>
          <w:rFonts w:ascii="Book Antiqua" w:hAnsi="Book Antiqua" w:cs="Book Antiqua"/>
          <w:sz w:val="20"/>
        </w:rPr>
        <w:t>É</w:t>
      </w:r>
      <w:r w:rsidRPr="00A7539A">
        <w:rPr>
          <w:rFonts w:ascii="Book Antiqua" w:hAnsi="Book Antiqua"/>
          <w:sz w:val="20"/>
        </w:rPr>
        <w:t>tats d</w:t>
      </w:r>
      <w:r w:rsidRPr="00A7539A">
        <w:rPr>
          <w:rFonts w:ascii="Book Antiqua" w:hAnsi="Book Antiqua" w:cs="Book Antiqua"/>
          <w:sz w:val="20"/>
        </w:rPr>
        <w:t>’</w:t>
      </w:r>
      <w:r w:rsidRPr="00A7539A">
        <w:rPr>
          <w:rFonts w:ascii="Book Antiqua" w:hAnsi="Book Antiqua"/>
          <w:sz w:val="20"/>
        </w:rPr>
        <w:t>exclure les produits financiers risqués, de limiter le contrôle des mouvements des capitaux, et d’interdire la taxation des mouvements spéculatifs. Les grandes entreprises ont également de quoi se réjouir puisque l’accord institue l’ISDS (Investor-State Dispute Settlement) – organe de règlement des conflits entre État et investisseurs –, qui permet aux firmes privées de déposer plainte auprès d’une cour d’arbitrage si elles s’estiment lésées par les lois votées par les parlements nationaux.</w:t>
      </w:r>
    </w:p>
    <w:p w:rsidR="00A7539A" w:rsidRDefault="00A7539A" w:rsidP="00A7539A">
      <w:pPr>
        <w:pStyle w:val="tx"/>
        <w:pBdr>
          <w:top w:val="single" w:sz="4" w:space="1" w:color="auto"/>
          <w:left w:val="single" w:sz="4" w:space="4" w:color="auto"/>
          <w:bottom w:val="single" w:sz="4" w:space="1" w:color="auto"/>
          <w:right w:val="single" w:sz="4" w:space="4" w:color="auto"/>
        </w:pBdr>
        <w:spacing w:before="0" w:after="0"/>
        <w:rPr>
          <w:rFonts w:ascii="Book Antiqua" w:hAnsi="Book Antiqua"/>
          <w:sz w:val="20"/>
        </w:rPr>
      </w:pPr>
    </w:p>
    <w:p w:rsidR="00E42701" w:rsidRPr="00E42701" w:rsidRDefault="00E42701" w:rsidP="00C87391">
      <w:pPr>
        <w:shd w:val="clear" w:color="auto" w:fill="FFFFFF"/>
        <w:spacing w:after="0" w:line="240" w:lineRule="auto"/>
        <w:rPr>
          <w:rFonts w:ascii="Arial" w:eastAsia="Times New Roman" w:hAnsi="Arial" w:cs="Arial"/>
          <w:color w:val="000000"/>
          <w:sz w:val="21"/>
          <w:szCs w:val="21"/>
          <w:lang w:eastAsia="fr-FR"/>
        </w:rPr>
      </w:pPr>
      <w:r w:rsidRPr="00E42701">
        <w:rPr>
          <w:rFonts w:ascii="Book Antiqua" w:hAnsi="Book Antiqua" w:cs="Arial"/>
          <w:bCs/>
          <w:color w:val="000000"/>
          <w:sz w:val="24"/>
          <w:szCs w:val="24"/>
        </w:rPr>
        <w:br/>
      </w:r>
    </w:p>
    <w:p w:rsidR="00065BB5" w:rsidRPr="00C87391" w:rsidRDefault="00F923D3" w:rsidP="00C87391">
      <w:pPr>
        <w:spacing w:after="0" w:line="240" w:lineRule="auto"/>
        <w:rPr>
          <w:rFonts w:ascii="Book Antiqua" w:hAnsi="Book Antiqua"/>
          <w:b/>
          <w:sz w:val="24"/>
        </w:rPr>
      </w:pPr>
      <w:r>
        <w:rPr>
          <w:rFonts w:ascii="Book Antiqua" w:hAnsi="Book Antiqua"/>
          <w:b/>
          <w:sz w:val="24"/>
        </w:rPr>
        <w:t>L</w:t>
      </w:r>
      <w:r w:rsidR="00C87391" w:rsidRPr="00C87391">
        <w:rPr>
          <w:rFonts w:ascii="Book Antiqua" w:hAnsi="Book Antiqua"/>
          <w:b/>
          <w:sz w:val="24"/>
        </w:rPr>
        <w:t>e TTIP, l’AECG et le mécanisme de RDIE : les enseignements du Canada</w:t>
      </w:r>
    </w:p>
    <w:p w:rsidR="00C87391" w:rsidRDefault="00C87391" w:rsidP="00C87391">
      <w:pPr>
        <w:spacing w:after="0" w:line="240" w:lineRule="auto"/>
        <w:rPr>
          <w:rFonts w:ascii="Book Antiqua" w:hAnsi="Book Antiqua"/>
          <w:sz w:val="24"/>
        </w:rPr>
      </w:pPr>
    </w:p>
    <w:p w:rsidR="00C87391" w:rsidRDefault="00C87391" w:rsidP="00C87391">
      <w:pPr>
        <w:spacing w:after="0" w:line="240" w:lineRule="auto"/>
        <w:rPr>
          <w:rFonts w:ascii="Book Antiqua" w:hAnsi="Book Antiqua"/>
          <w:sz w:val="24"/>
        </w:rPr>
      </w:pPr>
      <w:r>
        <w:rPr>
          <w:rFonts w:ascii="Book Antiqua" w:hAnsi="Book Antiqua"/>
          <w:sz w:val="24"/>
        </w:rPr>
        <w:t>Nous reprenons ici les analyses développées par Maude Barlow, présidente du Conseil des Canadiens, dans un document d’octobre 2015.</w:t>
      </w:r>
    </w:p>
    <w:p w:rsidR="00C87391" w:rsidRDefault="00C87391" w:rsidP="00C87391">
      <w:pPr>
        <w:spacing w:after="0" w:line="240" w:lineRule="auto"/>
        <w:rPr>
          <w:rFonts w:ascii="Book Antiqua" w:hAnsi="Book Antiqua"/>
          <w:sz w:val="24"/>
        </w:rPr>
      </w:pPr>
    </w:p>
    <w:p w:rsidR="00C87391" w:rsidRDefault="00C87391" w:rsidP="00C87391">
      <w:pPr>
        <w:pStyle w:val="Pa4"/>
        <w:pBdr>
          <w:top w:val="single" w:sz="4" w:space="1" w:color="auto"/>
          <w:left w:val="single" w:sz="4" w:space="4" w:color="auto"/>
          <w:bottom w:val="single" w:sz="4" w:space="1" w:color="auto"/>
          <w:right w:val="single" w:sz="4" w:space="4" w:color="auto"/>
        </w:pBdr>
        <w:spacing w:after="180"/>
        <w:rPr>
          <w:rFonts w:cs="Cambria"/>
          <w:color w:val="000000"/>
          <w:sz w:val="21"/>
          <w:szCs w:val="21"/>
        </w:rPr>
      </w:pPr>
      <w:r>
        <w:rPr>
          <w:rFonts w:cs="Cambria"/>
          <w:color w:val="000000"/>
          <w:sz w:val="21"/>
          <w:szCs w:val="21"/>
        </w:rPr>
        <w:t>En 1989, le Canada et les États-Unis ont signé l’Accord de libre-échange entre le Canada et les États-Unis (ALÉ). En 1994, les deux pays et le Mexique ont signé l’Accord de libre-échange nord-américain (ALENA). Ces deux accords donnaient le ton à la nouvelle génération d’accords commerciaux bilatéraux et régionaux, et créaient un modèle tou</w:t>
      </w:r>
      <w:r>
        <w:rPr>
          <w:rFonts w:cs="Cambria"/>
          <w:color w:val="000000"/>
          <w:sz w:val="21"/>
          <w:szCs w:val="21"/>
        </w:rPr>
        <w:softHyphen/>
        <w:t>jours largement appliqué par la plupart des gou</w:t>
      </w:r>
      <w:r>
        <w:rPr>
          <w:rFonts w:cs="Cambria"/>
          <w:color w:val="000000"/>
          <w:sz w:val="21"/>
          <w:szCs w:val="21"/>
        </w:rPr>
        <w:softHyphen/>
        <w:t xml:space="preserve">vernements. </w:t>
      </w:r>
    </w:p>
    <w:p w:rsidR="00C87391" w:rsidRDefault="00C87391" w:rsidP="00C87391">
      <w:pPr>
        <w:pStyle w:val="Pa4"/>
        <w:pBdr>
          <w:top w:val="single" w:sz="4" w:space="1" w:color="auto"/>
          <w:left w:val="single" w:sz="4" w:space="4" w:color="auto"/>
          <w:bottom w:val="single" w:sz="4" w:space="1" w:color="auto"/>
          <w:right w:val="single" w:sz="4" w:space="4" w:color="auto"/>
        </w:pBdr>
        <w:spacing w:after="180"/>
        <w:rPr>
          <w:rFonts w:cs="Cambria"/>
          <w:color w:val="000000"/>
          <w:sz w:val="21"/>
          <w:szCs w:val="21"/>
        </w:rPr>
      </w:pPr>
      <w:r>
        <w:rPr>
          <w:rFonts w:cs="Cambria"/>
          <w:color w:val="000000"/>
          <w:sz w:val="21"/>
          <w:szCs w:val="21"/>
        </w:rPr>
        <w:t>Dans le cadre de l’ALÉ, le Canada a perdu la majeure partie de son assise manufacturière, car les multi</w:t>
      </w:r>
      <w:r>
        <w:rPr>
          <w:rFonts w:cs="Cambria"/>
          <w:color w:val="000000"/>
          <w:sz w:val="21"/>
          <w:szCs w:val="21"/>
        </w:rPr>
        <w:softHyphen/>
        <w:t>nationales américaines ont fermé leurs usines cana</w:t>
      </w:r>
      <w:r>
        <w:rPr>
          <w:rFonts w:cs="Cambria"/>
          <w:color w:val="000000"/>
          <w:sz w:val="21"/>
          <w:szCs w:val="21"/>
        </w:rPr>
        <w:softHyphen/>
        <w:t>diennes et les ont délocalisées. Le Canada a égale</w:t>
      </w:r>
      <w:r>
        <w:rPr>
          <w:rFonts w:cs="Cambria"/>
          <w:color w:val="000000"/>
          <w:sz w:val="21"/>
          <w:szCs w:val="21"/>
        </w:rPr>
        <w:softHyphen/>
        <w:t>ment cédé le contrôle règlementaire de ses réserves d’énergie. L’ALENA a introduit une nouvelle disposi</w:t>
      </w:r>
      <w:r>
        <w:rPr>
          <w:rFonts w:cs="Cambria"/>
          <w:color w:val="000000"/>
          <w:sz w:val="21"/>
          <w:szCs w:val="21"/>
        </w:rPr>
        <w:softHyphen/>
        <w:t xml:space="preserve">tion, le règlement des différends entre investisseurs et États (RDIE, ou ISDS pour « investor-state dispute settlement »), en vertu duquel les multinationales des trois pays auraient le droit de poursuivre les gouvernements pour des modifications apportées à des lois, politiques ou pratiques ayant un impact négatif sur leur résultat net. </w:t>
      </w:r>
    </w:p>
    <w:p w:rsidR="00C87391" w:rsidRDefault="00C87391" w:rsidP="00C87391">
      <w:pPr>
        <w:pStyle w:val="Default"/>
        <w:pBdr>
          <w:top w:val="single" w:sz="4" w:space="1" w:color="auto"/>
          <w:left w:val="single" w:sz="4" w:space="4" w:color="auto"/>
          <w:bottom w:val="single" w:sz="4" w:space="1" w:color="auto"/>
          <w:right w:val="single" w:sz="4" w:space="4" w:color="auto"/>
        </w:pBdr>
        <w:spacing w:after="180"/>
        <w:rPr>
          <w:sz w:val="21"/>
          <w:szCs w:val="21"/>
        </w:rPr>
      </w:pPr>
      <w:r>
        <w:rPr>
          <w:sz w:val="21"/>
          <w:szCs w:val="21"/>
        </w:rPr>
        <w:t>L’héritage de l’ALENA est bien vivant et bien présent dans le Partenariat transatlantique de commerce et d’investissement (TTIP, pour « Transatlantic Trade and Investment Partnership ») entre l’Union euro</w:t>
      </w:r>
      <w:r>
        <w:rPr>
          <w:sz w:val="21"/>
          <w:szCs w:val="21"/>
        </w:rPr>
        <w:softHyphen/>
        <w:t>péenne et les États-Unis, et l’Accord économique et commercial global (AECG) signé entre l’Union européenne et le Canada. Alors que ces accords exagèrent les prévisions budgétaires découlant des échanges commerciaux de plusieurs façons, ils contiennent tous deux des dispositions relatives au mécanisme de RDIE, qui sont particulièrement con</w:t>
      </w:r>
      <w:r>
        <w:rPr>
          <w:sz w:val="21"/>
          <w:szCs w:val="21"/>
        </w:rPr>
        <w:softHyphen/>
        <w:t xml:space="preserve">troversées en Europe. </w:t>
      </w:r>
    </w:p>
    <w:p w:rsidR="00C87391" w:rsidRDefault="00C87391" w:rsidP="00C87391">
      <w:pPr>
        <w:pStyle w:val="Default"/>
        <w:pBdr>
          <w:top w:val="single" w:sz="4" w:space="1" w:color="auto"/>
          <w:left w:val="single" w:sz="4" w:space="4" w:color="auto"/>
          <w:bottom w:val="single" w:sz="4" w:space="1" w:color="auto"/>
          <w:right w:val="single" w:sz="4" w:space="4" w:color="auto"/>
        </w:pBdr>
        <w:spacing w:after="180"/>
        <w:rPr>
          <w:sz w:val="21"/>
          <w:szCs w:val="21"/>
        </w:rPr>
      </w:pPr>
      <w:r>
        <w:rPr>
          <w:sz w:val="21"/>
          <w:szCs w:val="21"/>
        </w:rPr>
        <w:lastRenderedPageBreak/>
        <w:t>En conséquence de l’ALENA, le Canada est le pays du monde développé qui a fait l’objet du plus grand nombre de poursuites en vertu du mécanisme de RDIE, et les Canadiens ont une histoire importante à partager avec les Européens alors qu’ils luttent con</w:t>
      </w:r>
      <w:r>
        <w:rPr>
          <w:sz w:val="21"/>
          <w:szCs w:val="21"/>
        </w:rPr>
        <w:softHyphen/>
        <w:t>tre le TTIP et l’AECG.</w:t>
      </w:r>
    </w:p>
    <w:p w:rsidR="001E4711" w:rsidRPr="001E4711" w:rsidRDefault="001E4711" w:rsidP="000603F0">
      <w:pPr>
        <w:autoSpaceDE w:val="0"/>
        <w:autoSpaceDN w:val="0"/>
        <w:adjustRightInd w:val="0"/>
        <w:spacing w:before="280" w:after="180" w:line="281" w:lineRule="atLeast"/>
        <w:ind w:firstLine="708"/>
        <w:rPr>
          <w:rFonts w:ascii="Book Antiqua" w:hAnsi="Book Antiqua" w:cs="Cambria"/>
          <w:i/>
          <w:color w:val="000000"/>
          <w:sz w:val="24"/>
          <w:szCs w:val="28"/>
        </w:rPr>
      </w:pPr>
      <w:r w:rsidRPr="001E4711">
        <w:rPr>
          <w:rFonts w:ascii="Book Antiqua" w:hAnsi="Book Antiqua" w:cs="Cambria"/>
          <w:b/>
          <w:bCs/>
          <w:i/>
          <w:iCs/>
          <w:color w:val="000000"/>
          <w:sz w:val="24"/>
          <w:szCs w:val="28"/>
        </w:rPr>
        <w:t xml:space="preserve">Qu’est-ce que le TTIP et l’AECG ? </w:t>
      </w:r>
    </w:p>
    <w:p w:rsidR="001E4711" w:rsidRPr="001E4711" w:rsidRDefault="001E4711" w:rsidP="001E4711">
      <w:pPr>
        <w:autoSpaceDE w:val="0"/>
        <w:autoSpaceDN w:val="0"/>
        <w:adjustRightInd w:val="0"/>
        <w:spacing w:after="180" w:line="211" w:lineRule="atLeast"/>
        <w:rPr>
          <w:rFonts w:ascii="Book Antiqua" w:hAnsi="Book Antiqua" w:cs="Cambria"/>
          <w:color w:val="000000"/>
          <w:sz w:val="24"/>
          <w:szCs w:val="24"/>
        </w:rPr>
      </w:pPr>
      <w:r w:rsidRPr="001E4711">
        <w:rPr>
          <w:rFonts w:ascii="Book Antiqua" w:hAnsi="Book Antiqua" w:cs="Cambria"/>
          <w:color w:val="000000"/>
          <w:sz w:val="24"/>
          <w:szCs w:val="24"/>
        </w:rPr>
        <w:t>Le TTIP est un accord de commerce et d’investissement proposé entre l’UE et les États- Unis pour ouvrir leurs marchés mutuels aux sec</w:t>
      </w:r>
      <w:r w:rsidRPr="001E4711">
        <w:rPr>
          <w:rFonts w:ascii="Book Antiqua" w:hAnsi="Book Antiqua" w:cs="Cambria"/>
          <w:color w:val="000000"/>
          <w:sz w:val="24"/>
          <w:szCs w:val="24"/>
        </w:rPr>
        <w:softHyphen/>
        <w:t>teurs des entreprises, notamment aux sociétés spécialisées dans les produits pharmaceutiques, les textiles, l’énergie et l’agriculture. Les négociations ont été organisées à huis clos et un nombre infime d’informations est diffusé sporadiquement au pub</w:t>
      </w:r>
      <w:r w:rsidRPr="001E4711">
        <w:rPr>
          <w:rFonts w:ascii="Book Antiqua" w:hAnsi="Book Antiqua" w:cs="Cambria"/>
          <w:color w:val="000000"/>
          <w:sz w:val="24"/>
          <w:szCs w:val="24"/>
        </w:rPr>
        <w:softHyphen/>
        <w:t xml:space="preserve">lic. </w:t>
      </w:r>
    </w:p>
    <w:p w:rsidR="001E4711" w:rsidRPr="001E4711" w:rsidRDefault="001E4711" w:rsidP="001E4711">
      <w:pPr>
        <w:autoSpaceDE w:val="0"/>
        <w:autoSpaceDN w:val="0"/>
        <w:adjustRightInd w:val="0"/>
        <w:spacing w:after="180" w:line="211" w:lineRule="atLeast"/>
        <w:rPr>
          <w:rFonts w:ascii="Book Antiqua" w:hAnsi="Book Antiqua" w:cs="Cambria"/>
          <w:color w:val="000000"/>
          <w:sz w:val="24"/>
          <w:szCs w:val="24"/>
        </w:rPr>
      </w:pPr>
      <w:r w:rsidRPr="001E4711">
        <w:rPr>
          <w:rFonts w:ascii="Book Antiqua" w:hAnsi="Book Antiqua" w:cs="Cambria"/>
          <w:color w:val="000000"/>
          <w:sz w:val="24"/>
          <w:szCs w:val="24"/>
        </w:rPr>
        <w:t xml:space="preserve">L’AECG est l’équivalent canadien, mais le processus de négociation est bien plus avancé. En septembre 2014, le premier ministre canadien Stephen Harper, puis le président de la Commission européenne José Manuel Barroso et le président du Conseil européen Herman Van Rompuy, ont signé une déclaration commune pour « célébrer » la fin des négociations de l’AECG. En attendant, l’opposition au Canada et en Europe est toujours évidente, et l’accord est loin d’être conclu. C’est la première fois que le texte de l’accord a été diffusé officiellement au public. </w:t>
      </w:r>
    </w:p>
    <w:p w:rsidR="001E4711" w:rsidRPr="001E4711" w:rsidRDefault="001E4711" w:rsidP="001E4711">
      <w:pPr>
        <w:autoSpaceDE w:val="0"/>
        <w:autoSpaceDN w:val="0"/>
        <w:adjustRightInd w:val="0"/>
        <w:spacing w:after="180" w:line="211" w:lineRule="atLeast"/>
        <w:rPr>
          <w:rFonts w:ascii="Book Antiqua" w:hAnsi="Book Antiqua" w:cs="Cambria"/>
          <w:color w:val="000000"/>
          <w:sz w:val="24"/>
          <w:szCs w:val="24"/>
        </w:rPr>
      </w:pPr>
      <w:r w:rsidRPr="001E4711">
        <w:rPr>
          <w:rFonts w:ascii="Book Antiqua" w:hAnsi="Book Antiqua" w:cs="Cambria"/>
          <w:color w:val="000000"/>
          <w:sz w:val="24"/>
          <w:szCs w:val="24"/>
        </w:rPr>
        <w:t>Les partisans affirment que le TTIP et l’AECG « stimuleront » les économies des pays de l’UE et d’Amérique du Nord, créant ainsi des emplois et de la richesse pour les Nord-Américains et les Euro</w:t>
      </w:r>
      <w:r w:rsidRPr="001E4711">
        <w:rPr>
          <w:rFonts w:ascii="Book Antiqua" w:hAnsi="Book Antiqua" w:cs="Cambria"/>
          <w:color w:val="000000"/>
          <w:sz w:val="24"/>
          <w:szCs w:val="24"/>
        </w:rPr>
        <w:softHyphen/>
        <w:t>péens. L’expérience de l’ALENA, cependant, montre que les avantages ont profité presque exclusivement aux grandes entreprises fortunées. Alors que les salaires des PDG et les profits des entreprises se sont envolés au Canada depuis 1994, les revenus des ménages et des travailleurs ont stagné et la dette des ménages a augmenté pour atteindre des niveaux historiques.</w:t>
      </w:r>
    </w:p>
    <w:p w:rsidR="001E4711" w:rsidRPr="001E4711" w:rsidRDefault="001E4711" w:rsidP="001E4711">
      <w:pPr>
        <w:autoSpaceDE w:val="0"/>
        <w:autoSpaceDN w:val="0"/>
        <w:adjustRightInd w:val="0"/>
        <w:spacing w:after="180" w:line="211" w:lineRule="atLeast"/>
        <w:rPr>
          <w:rFonts w:ascii="Book Antiqua" w:hAnsi="Book Antiqua" w:cs="Cambria"/>
          <w:color w:val="000000"/>
          <w:sz w:val="24"/>
          <w:szCs w:val="24"/>
        </w:rPr>
      </w:pPr>
      <w:r w:rsidRPr="001E4711">
        <w:rPr>
          <w:rFonts w:ascii="Book Antiqua" w:hAnsi="Book Antiqua" w:cs="Cambria"/>
          <w:color w:val="000000"/>
          <w:sz w:val="24"/>
          <w:szCs w:val="24"/>
        </w:rPr>
        <w:t>Le TTIP et l’AECG, comme la plupart des accords commerciaux les plus récents, concernent égale</w:t>
      </w:r>
      <w:r w:rsidRPr="001E4711">
        <w:rPr>
          <w:rFonts w:ascii="Book Antiqua" w:hAnsi="Book Antiqua" w:cs="Cambria"/>
          <w:color w:val="000000"/>
          <w:sz w:val="24"/>
          <w:szCs w:val="24"/>
        </w:rPr>
        <w:softHyphen/>
        <w:t>ment l’élimination des « barrières commerciales non tarifaires ». Cela comprend les normes et les rè</w:t>
      </w:r>
      <w:r w:rsidRPr="001E4711">
        <w:rPr>
          <w:rFonts w:ascii="Book Antiqua" w:hAnsi="Book Antiqua" w:cs="Cambria"/>
          <w:color w:val="000000"/>
          <w:sz w:val="24"/>
          <w:szCs w:val="24"/>
        </w:rPr>
        <w:softHyphen/>
        <w:t>glements qui peuvent être nettement différents d’un pays à l’autre dans des domaines comme la sécurité alimentaire, les services financiers, la législation en</w:t>
      </w:r>
      <w:r w:rsidRPr="001E4711">
        <w:rPr>
          <w:rFonts w:ascii="Book Antiqua" w:hAnsi="Book Antiqua" w:cs="Cambria"/>
          <w:color w:val="000000"/>
          <w:sz w:val="24"/>
          <w:szCs w:val="24"/>
        </w:rPr>
        <w:softHyphen/>
        <w:t xml:space="preserve">vironnementale et les normes du travail. </w:t>
      </w:r>
    </w:p>
    <w:p w:rsidR="001E4711" w:rsidRPr="001E4711" w:rsidRDefault="001E4711" w:rsidP="001E4711">
      <w:pPr>
        <w:autoSpaceDE w:val="0"/>
        <w:autoSpaceDN w:val="0"/>
        <w:adjustRightInd w:val="0"/>
        <w:spacing w:after="180" w:line="211" w:lineRule="atLeast"/>
        <w:rPr>
          <w:rFonts w:ascii="Book Antiqua" w:hAnsi="Book Antiqua" w:cs="Cambria"/>
          <w:color w:val="000000"/>
          <w:sz w:val="24"/>
          <w:szCs w:val="24"/>
        </w:rPr>
      </w:pPr>
      <w:r w:rsidRPr="001E4711">
        <w:rPr>
          <w:rFonts w:ascii="Book Antiqua" w:hAnsi="Book Antiqua" w:cs="Cambria"/>
          <w:color w:val="000000"/>
          <w:sz w:val="24"/>
          <w:szCs w:val="24"/>
        </w:rPr>
        <w:t>Les multinationales souhaitent définir des règles du jeu équitables afin de pouvoir franchir les frontières et elles luttent pour obtenir le plus petit dénomi</w:t>
      </w:r>
      <w:r w:rsidRPr="001E4711">
        <w:rPr>
          <w:rFonts w:ascii="Book Antiqua" w:hAnsi="Book Antiqua" w:cs="Cambria"/>
          <w:color w:val="000000"/>
          <w:sz w:val="24"/>
          <w:szCs w:val="24"/>
        </w:rPr>
        <w:softHyphen/>
        <w:t xml:space="preserve">nateur commun. Au Canada, après la signature de l’ALENA, les normes sur la sécurité alimentaire, la sécurité sociale et l’environnement ont toutes été revues à la baisse pour être harmonisées. </w:t>
      </w:r>
    </w:p>
    <w:p w:rsidR="001E4711" w:rsidRPr="001E4711" w:rsidRDefault="000603F0" w:rsidP="001E4711">
      <w:pPr>
        <w:autoSpaceDE w:val="0"/>
        <w:autoSpaceDN w:val="0"/>
        <w:adjustRightInd w:val="0"/>
        <w:spacing w:after="180" w:line="211" w:lineRule="atLeast"/>
        <w:rPr>
          <w:rFonts w:ascii="Book Antiqua" w:hAnsi="Book Antiqua" w:cs="Cambria"/>
          <w:color w:val="000000"/>
          <w:sz w:val="24"/>
          <w:szCs w:val="24"/>
        </w:rPr>
      </w:pPr>
      <w:r>
        <w:rPr>
          <w:rFonts w:ascii="Book Antiqua" w:hAnsi="Book Antiqua" w:cs="Cambria"/>
          <w:color w:val="000000"/>
          <w:sz w:val="24"/>
          <w:szCs w:val="24"/>
        </w:rPr>
        <w:t>L’ALENA facili</w:t>
      </w:r>
      <w:r>
        <w:rPr>
          <w:rFonts w:ascii="Book Antiqua" w:hAnsi="Book Antiqua" w:cs="Cambria"/>
          <w:color w:val="000000"/>
          <w:sz w:val="24"/>
          <w:szCs w:val="24"/>
        </w:rPr>
        <w:softHyphen/>
        <w:t>te</w:t>
      </w:r>
      <w:r w:rsidR="001E4711" w:rsidRPr="001E4711">
        <w:rPr>
          <w:rFonts w:ascii="Book Antiqua" w:hAnsi="Book Antiqua" w:cs="Cambria"/>
          <w:color w:val="000000"/>
          <w:sz w:val="24"/>
          <w:szCs w:val="24"/>
        </w:rPr>
        <w:t xml:space="preserve"> l’expansion de l’agriculture à grande échelle, axée sur l’exportation reposant sur l’utilisation des pesticides et des OGM</w:t>
      </w:r>
      <w:r>
        <w:rPr>
          <w:rFonts w:ascii="Book Antiqua" w:hAnsi="Book Antiqua" w:cs="Cambria"/>
          <w:color w:val="000000"/>
          <w:sz w:val="24"/>
          <w:szCs w:val="24"/>
        </w:rPr>
        <w:t xml:space="preserve">. Il </w:t>
      </w:r>
      <w:r w:rsidR="001E4711" w:rsidRPr="001E4711">
        <w:rPr>
          <w:rFonts w:ascii="Book Antiqua" w:hAnsi="Book Antiqua" w:cs="Cambria"/>
          <w:color w:val="000000"/>
          <w:sz w:val="24"/>
          <w:szCs w:val="24"/>
        </w:rPr>
        <w:t>enc</w:t>
      </w:r>
      <w:r>
        <w:rPr>
          <w:rFonts w:ascii="Book Antiqua" w:hAnsi="Book Antiqua" w:cs="Cambria"/>
          <w:color w:val="000000"/>
          <w:sz w:val="24"/>
          <w:szCs w:val="24"/>
        </w:rPr>
        <w:t>ourage</w:t>
      </w:r>
      <w:r w:rsidR="001E4711" w:rsidRPr="001E4711">
        <w:rPr>
          <w:rFonts w:ascii="Book Antiqua" w:hAnsi="Book Antiqua" w:cs="Cambria"/>
          <w:color w:val="000000"/>
          <w:sz w:val="24"/>
          <w:szCs w:val="24"/>
        </w:rPr>
        <w:t xml:space="preserve"> l’essor de l’exploitation minière néfaste </w:t>
      </w:r>
      <w:r>
        <w:rPr>
          <w:rFonts w:ascii="Book Antiqua" w:hAnsi="Book Antiqua" w:cs="Cambria"/>
          <w:color w:val="000000"/>
          <w:sz w:val="24"/>
          <w:szCs w:val="24"/>
        </w:rPr>
        <w:t>pour l’environnement au Mexique</w:t>
      </w:r>
      <w:r w:rsidR="001E4711" w:rsidRPr="001E4711">
        <w:rPr>
          <w:rFonts w:ascii="Book Antiqua" w:hAnsi="Book Antiqua" w:cs="Cambria"/>
          <w:color w:val="000000"/>
          <w:sz w:val="24"/>
          <w:szCs w:val="24"/>
        </w:rPr>
        <w:t xml:space="preserve"> </w:t>
      </w:r>
      <w:r>
        <w:rPr>
          <w:rFonts w:ascii="Book Antiqua" w:hAnsi="Book Antiqua" w:cs="Cambria"/>
          <w:color w:val="000000"/>
          <w:sz w:val="24"/>
          <w:szCs w:val="24"/>
        </w:rPr>
        <w:t>et compromet</w:t>
      </w:r>
      <w:r w:rsidR="001E4711" w:rsidRPr="001E4711">
        <w:rPr>
          <w:rFonts w:ascii="Book Antiqua" w:hAnsi="Book Antiqua" w:cs="Cambria"/>
          <w:color w:val="000000"/>
          <w:sz w:val="24"/>
          <w:szCs w:val="24"/>
        </w:rPr>
        <w:t xml:space="preserve"> la capacité du Canada à règlementer s</w:t>
      </w:r>
      <w:r>
        <w:rPr>
          <w:rFonts w:ascii="Book Antiqua" w:hAnsi="Book Antiqua" w:cs="Cambria"/>
          <w:color w:val="000000"/>
          <w:sz w:val="24"/>
          <w:szCs w:val="24"/>
        </w:rPr>
        <w:t>a propre industrie de l’énergie.</w:t>
      </w:r>
      <w:r w:rsidR="001E4711" w:rsidRPr="001E4711">
        <w:rPr>
          <w:rFonts w:ascii="Book Antiqua" w:hAnsi="Book Antiqua" w:cs="Cambria"/>
          <w:color w:val="000000"/>
          <w:sz w:val="24"/>
          <w:szCs w:val="24"/>
        </w:rPr>
        <w:t xml:space="preserve"> </w:t>
      </w:r>
      <w:r w:rsidR="00F27022">
        <w:rPr>
          <w:rFonts w:ascii="Book Antiqua" w:hAnsi="Book Antiqua" w:cs="Cambria"/>
          <w:color w:val="000000"/>
          <w:sz w:val="24"/>
          <w:szCs w:val="24"/>
        </w:rPr>
        <w:t>Il forc</w:t>
      </w:r>
      <w:r>
        <w:rPr>
          <w:rFonts w:ascii="Book Antiqua" w:hAnsi="Book Antiqua" w:cs="Cambria"/>
          <w:color w:val="000000"/>
          <w:sz w:val="24"/>
          <w:szCs w:val="24"/>
        </w:rPr>
        <w:t>e</w:t>
      </w:r>
      <w:r w:rsidR="001E4711" w:rsidRPr="001E4711">
        <w:rPr>
          <w:rFonts w:ascii="Book Antiqua" w:hAnsi="Book Antiqua" w:cs="Cambria"/>
          <w:color w:val="000000"/>
          <w:sz w:val="24"/>
          <w:szCs w:val="24"/>
        </w:rPr>
        <w:t xml:space="preserve"> le Canada à expédier d’importantes quantités de combustibles fossiles aux États</w:t>
      </w:r>
      <w:r>
        <w:rPr>
          <w:rFonts w:ascii="Book Antiqua" w:hAnsi="Book Antiqua" w:cs="Cambria"/>
          <w:color w:val="000000"/>
          <w:sz w:val="24"/>
          <w:szCs w:val="24"/>
        </w:rPr>
        <w:t>-Unis, et affaibli</w:t>
      </w:r>
      <w:r w:rsidR="001E4711" w:rsidRPr="001E4711">
        <w:rPr>
          <w:rFonts w:ascii="Book Antiqua" w:hAnsi="Book Antiqua" w:cs="Cambria"/>
          <w:color w:val="000000"/>
          <w:sz w:val="24"/>
          <w:szCs w:val="24"/>
        </w:rPr>
        <w:t>t les mesures de protection de l’environnement en Amérique du Nord en fournissant aux entreprises de nouveaux outils pour intenter des poursuites contre l’élaboration de politiques environnemen</w:t>
      </w:r>
      <w:r w:rsidR="001E4711" w:rsidRPr="001E4711">
        <w:rPr>
          <w:rFonts w:ascii="Book Antiqua" w:hAnsi="Book Antiqua" w:cs="Cambria"/>
          <w:color w:val="000000"/>
          <w:sz w:val="24"/>
          <w:szCs w:val="24"/>
        </w:rPr>
        <w:softHyphen/>
        <w:t>tales.</w:t>
      </w:r>
      <w:r w:rsidR="001E4711" w:rsidRPr="00E70B47">
        <w:rPr>
          <w:rFonts w:ascii="Book Antiqua" w:hAnsi="Book Antiqua" w:cs="Cambria"/>
          <w:color w:val="000000"/>
          <w:sz w:val="24"/>
          <w:szCs w:val="24"/>
        </w:rPr>
        <w:t xml:space="preserve"> </w:t>
      </w:r>
    </w:p>
    <w:p w:rsidR="001E4711" w:rsidRPr="001E4711" w:rsidRDefault="001E4711" w:rsidP="001E4711">
      <w:pPr>
        <w:rPr>
          <w:rFonts w:ascii="Book Antiqua" w:hAnsi="Book Antiqua"/>
          <w:sz w:val="24"/>
          <w:szCs w:val="24"/>
        </w:rPr>
      </w:pPr>
      <w:r w:rsidRPr="001E4711">
        <w:rPr>
          <w:rFonts w:ascii="Book Antiqua" w:hAnsi="Book Antiqua" w:cs="Cambria"/>
          <w:color w:val="000000"/>
          <w:sz w:val="24"/>
          <w:szCs w:val="24"/>
        </w:rPr>
        <w:lastRenderedPageBreak/>
        <w:t>Avec l’AECG et le TTIP, pour la première fois, les autorités locales (municipalités, provinces et états) seront soumises aux engagements d’approvisionnement locaux qui les empêcheront de favoriser les entreprises et le développement économique locaux. Selon une analyse du Centre ca</w:t>
      </w:r>
      <w:r w:rsidRPr="001E4711">
        <w:rPr>
          <w:rFonts w:ascii="Book Antiqua" w:hAnsi="Book Antiqua" w:cs="Cambria"/>
          <w:color w:val="000000"/>
          <w:sz w:val="24"/>
          <w:szCs w:val="24"/>
        </w:rPr>
        <w:softHyphen/>
        <w:t>nadien de politiques alternatives, cela va considéra</w:t>
      </w:r>
      <w:r w:rsidRPr="001E4711">
        <w:rPr>
          <w:rFonts w:ascii="Book Antiqua" w:hAnsi="Book Antiqua" w:cs="Cambria"/>
          <w:color w:val="000000"/>
          <w:sz w:val="24"/>
          <w:szCs w:val="24"/>
        </w:rPr>
        <w:softHyphen/>
        <w:t>blement empêcher la grande majorité des autorités locales d’Amérique du Nord et d’Europe d’utiliser les dépenses publiques comme catalyseur pour at</w:t>
      </w:r>
      <w:r w:rsidRPr="001E4711">
        <w:rPr>
          <w:rFonts w:ascii="Book Antiqua" w:hAnsi="Book Antiqua" w:cs="Cambria"/>
          <w:color w:val="000000"/>
          <w:sz w:val="24"/>
          <w:szCs w:val="24"/>
        </w:rPr>
        <w:softHyphen/>
        <w:t>teindre d’autres objectifs de société, de la création d’emploi au soutien des agriculteurs locaux, en pas</w:t>
      </w:r>
      <w:r w:rsidRPr="001E4711">
        <w:rPr>
          <w:rFonts w:ascii="Book Antiqua" w:hAnsi="Book Antiqua" w:cs="Cambria"/>
          <w:color w:val="000000"/>
          <w:sz w:val="24"/>
          <w:szCs w:val="24"/>
        </w:rPr>
        <w:softHyphen/>
        <w:t>sant par les mesures contre la crise climatique.</w:t>
      </w:r>
    </w:p>
    <w:p w:rsidR="00C702E6" w:rsidRPr="00C702E6" w:rsidRDefault="00C702E6" w:rsidP="00C702E6">
      <w:pPr>
        <w:pBdr>
          <w:top w:val="single" w:sz="4" w:space="1" w:color="auto"/>
          <w:left w:val="single" w:sz="4" w:space="4" w:color="auto"/>
          <w:bottom w:val="single" w:sz="4" w:space="1" w:color="auto"/>
          <w:right w:val="single" w:sz="4" w:space="4" w:color="auto"/>
        </w:pBd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rPr>
          <w:rFonts w:ascii="Book Antiqua" w:eastAsia="Times New Roman" w:hAnsi="Book Antiqua" w:cs="Times New Roman"/>
          <w:spacing w:val="-2"/>
          <w:sz w:val="20"/>
          <w:szCs w:val="24"/>
          <w:lang w:eastAsia="fr-FR"/>
        </w:rPr>
      </w:pPr>
      <w:r w:rsidRPr="00C702E6">
        <w:rPr>
          <w:rFonts w:ascii="Book Antiqua" w:eastAsia="Times New Roman" w:hAnsi="Book Antiqua" w:cs="Times New Roman"/>
          <w:spacing w:val="-2"/>
          <w:sz w:val="20"/>
          <w:szCs w:val="24"/>
          <w:lang w:eastAsia="fr-FR"/>
        </w:rPr>
        <w:t>Selon un Memo de la Commission européenne d’octobre 2013</w:t>
      </w:r>
    </w:p>
    <w:p w:rsidR="0046589F" w:rsidRPr="00C702E6" w:rsidRDefault="0046589F" w:rsidP="00C702E6">
      <w:pPr>
        <w:pBdr>
          <w:top w:val="single" w:sz="4" w:space="1" w:color="auto"/>
          <w:left w:val="single" w:sz="4" w:space="4" w:color="auto"/>
          <w:bottom w:val="single" w:sz="4" w:space="1" w:color="auto"/>
          <w:right w:val="single" w:sz="4" w:space="4" w:color="auto"/>
        </w:pBd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rPr>
          <w:rFonts w:ascii="Book Antiqua" w:eastAsia="Times New Roman" w:hAnsi="Book Antiqua" w:cs="Times New Roman"/>
          <w:spacing w:val="-2"/>
          <w:sz w:val="20"/>
          <w:szCs w:val="24"/>
          <w:lang w:eastAsia="fr-FR"/>
        </w:rPr>
      </w:pPr>
      <w:r w:rsidRPr="00C702E6">
        <w:rPr>
          <w:rFonts w:ascii="Book Antiqua" w:eastAsia="Times New Roman" w:hAnsi="Book Antiqua" w:cs="Times New Roman"/>
          <w:spacing w:val="-2"/>
          <w:sz w:val="20"/>
          <w:szCs w:val="24"/>
          <w:lang w:eastAsia="fr-FR"/>
        </w:rPr>
        <w:t xml:space="preserve">L'accord économique et commercial global (AECG) entre l'UE et le Canada donnera un sérieux coup de pouce au commerce des biens et des services, tout en créant des possibilités supplémentaires d'investissement. Le nouvel accès au marché offert par l'accord renforcera encore la position des exportateurs et des investisseurs européens sur le marché canadien. Une fois mis en œuvre, l'accord devrait </w:t>
      </w:r>
      <w:r w:rsidRPr="00C702E6">
        <w:rPr>
          <w:rFonts w:ascii="Book Antiqua" w:eastAsia="Times New Roman" w:hAnsi="Book Antiqua" w:cs="Times New Roman"/>
          <w:b/>
          <w:spacing w:val="-2"/>
          <w:sz w:val="20"/>
          <w:szCs w:val="24"/>
          <w:lang w:eastAsia="fr-FR"/>
        </w:rPr>
        <w:t>accroître le commerce bilatéral</w:t>
      </w:r>
      <w:r w:rsidRPr="00C702E6">
        <w:rPr>
          <w:rFonts w:ascii="Book Antiqua" w:eastAsia="Times New Roman" w:hAnsi="Book Antiqua" w:cs="Times New Roman"/>
          <w:spacing w:val="-2"/>
          <w:sz w:val="20"/>
          <w:szCs w:val="24"/>
          <w:lang w:eastAsia="fr-FR"/>
        </w:rPr>
        <w:t xml:space="preserve"> de biens et de services de 22,9 % (soit 25,7 milliards €), au profit de la croissance et de l'emploi des deux côtés de l'Atlantique. Globalement, l'accord UE-Canada pourrait engendrer une hausse du PIB de l'UE de pas moins de </w:t>
      </w:r>
      <w:r w:rsidRPr="00C702E6">
        <w:rPr>
          <w:rFonts w:ascii="Book Antiqua" w:eastAsia="Times New Roman" w:hAnsi="Book Antiqua" w:cs="Times New Roman"/>
          <w:b/>
          <w:spacing w:val="-2"/>
          <w:sz w:val="20"/>
          <w:szCs w:val="24"/>
          <w:lang w:eastAsia="fr-FR"/>
        </w:rPr>
        <w:t>11,6 milliards € par an</w:t>
      </w:r>
      <w:r w:rsidRPr="00C702E6">
        <w:rPr>
          <w:rFonts w:ascii="Book Antiqua" w:eastAsia="Times New Roman" w:hAnsi="Book Antiqua" w:cs="Times New Roman"/>
          <w:spacing w:val="-2"/>
          <w:sz w:val="20"/>
          <w:szCs w:val="24"/>
          <w:lang w:eastAsia="fr-FR"/>
        </w:rPr>
        <w:t>.</w:t>
      </w:r>
    </w:p>
    <w:p w:rsidR="002C1434" w:rsidRPr="00F27022" w:rsidRDefault="002C1434" w:rsidP="00F27022">
      <w:pPr>
        <w:pStyle w:val="Pa3"/>
        <w:spacing w:before="280" w:after="180"/>
        <w:ind w:firstLine="708"/>
        <w:rPr>
          <w:rFonts w:ascii="Book Antiqua" w:hAnsi="Book Antiqua" w:cs="Cambria"/>
          <w:color w:val="000000"/>
        </w:rPr>
      </w:pPr>
      <w:r w:rsidRPr="00F27022">
        <w:rPr>
          <w:rFonts w:ascii="Book Antiqua" w:hAnsi="Book Antiqua" w:cs="Cambria"/>
          <w:b/>
          <w:bCs/>
          <w:i/>
          <w:iCs/>
          <w:color w:val="000000"/>
        </w:rPr>
        <w:t xml:space="preserve">En quoi le TTIP et l’AECG limitent-ils les droits de règlementation des gouvernements ? </w:t>
      </w:r>
    </w:p>
    <w:p w:rsidR="002C1434" w:rsidRPr="00F27022" w:rsidRDefault="002C1434" w:rsidP="002C1434">
      <w:pPr>
        <w:pStyle w:val="Pa4"/>
        <w:spacing w:after="180"/>
        <w:rPr>
          <w:rFonts w:ascii="Book Antiqua" w:hAnsi="Book Antiqua" w:cs="Cambria"/>
          <w:color w:val="000000"/>
        </w:rPr>
      </w:pPr>
      <w:r w:rsidRPr="00F27022">
        <w:rPr>
          <w:rFonts w:ascii="Book Antiqua" w:hAnsi="Book Antiqua" w:cs="Cambria"/>
          <w:color w:val="000000"/>
        </w:rPr>
        <w:t>Le TTIP et l’AECG imposent de nouvelles limites aux droits des gouvernements de règlementer au nom de leur peuple ou de l’environnement, en établis</w:t>
      </w:r>
      <w:r w:rsidRPr="00F27022">
        <w:rPr>
          <w:rFonts w:ascii="Book Antiqua" w:hAnsi="Book Antiqua" w:cs="Cambria"/>
          <w:color w:val="000000"/>
        </w:rPr>
        <w:softHyphen/>
        <w:t>sant des obligations qui vont bien au-delà des exi</w:t>
      </w:r>
      <w:r w:rsidRPr="00F27022">
        <w:rPr>
          <w:rFonts w:ascii="Book Antiqua" w:hAnsi="Book Antiqua" w:cs="Cambria"/>
          <w:color w:val="000000"/>
        </w:rPr>
        <w:softHyphen/>
        <w:t>gences traditionnelles des accords commerciaux rel</w:t>
      </w:r>
      <w:r w:rsidRPr="00F27022">
        <w:rPr>
          <w:rFonts w:ascii="Book Antiqua" w:hAnsi="Book Antiqua" w:cs="Cambria"/>
          <w:color w:val="000000"/>
        </w:rPr>
        <w:softHyphen/>
        <w:t>atives à la non-discrimination entre les entreprises locales et les entreprises étrangères. Ils fixent des restrictions sur les règlementations nationales en matière de services et « autre activité économique », notamment l’exploitation minière et forestière, l’agriculture et la pêche. Parce qu’il s’agit d’accords « descendants », les dérogations à ce programme de dérèglementation doivent être énumérées et négo</w:t>
      </w:r>
      <w:r w:rsidRPr="00F27022">
        <w:rPr>
          <w:rFonts w:ascii="Book Antiqua" w:hAnsi="Book Antiqua" w:cs="Cambria"/>
          <w:color w:val="000000"/>
        </w:rPr>
        <w:softHyphen/>
        <w:t xml:space="preserve">ciées. </w:t>
      </w:r>
    </w:p>
    <w:p w:rsidR="002C1434" w:rsidRPr="00F27022" w:rsidRDefault="00F27022" w:rsidP="002C1434">
      <w:pPr>
        <w:pStyle w:val="Pa4"/>
        <w:spacing w:after="180"/>
        <w:rPr>
          <w:rFonts w:ascii="Book Antiqua" w:hAnsi="Book Antiqua" w:cs="Cambria"/>
          <w:color w:val="000000"/>
        </w:rPr>
      </w:pPr>
      <w:r>
        <w:rPr>
          <w:rFonts w:ascii="Book Antiqua" w:hAnsi="Book Antiqua" w:cs="Cambria"/>
          <w:color w:val="000000"/>
        </w:rPr>
        <w:t>L</w:t>
      </w:r>
      <w:r w:rsidR="002C1434" w:rsidRPr="00F27022">
        <w:rPr>
          <w:rFonts w:ascii="Book Antiqua" w:hAnsi="Book Antiqua" w:cs="Cambria"/>
          <w:color w:val="000000"/>
        </w:rPr>
        <w:t>’harmonisation à la baisse réduit les mesures de contrôle et abaisse les normes fixées sur le capital et les entreprises. Si le droit du travail de l’UE offre plus de protection aux travailleurs, une pression sera exercée sur tous les gouvernements pour qu’ils adoptent les normes des États-Unis qui dérèglemen</w:t>
      </w:r>
      <w:r w:rsidR="002C1434" w:rsidRPr="00F27022">
        <w:rPr>
          <w:rFonts w:ascii="Book Antiqua" w:hAnsi="Book Antiqua" w:cs="Cambria"/>
          <w:color w:val="000000"/>
        </w:rPr>
        <w:softHyphen/>
        <w:t>tent les droits des travailleurs.</w:t>
      </w:r>
      <w:r w:rsidR="002C1434" w:rsidRPr="00F27022">
        <w:rPr>
          <w:rStyle w:val="A6"/>
          <w:rFonts w:ascii="Book Antiqua" w:hAnsi="Book Antiqua"/>
          <w:sz w:val="24"/>
          <w:szCs w:val="24"/>
        </w:rPr>
        <w:t xml:space="preserve"> </w:t>
      </w:r>
      <w:r w:rsidR="002C1434" w:rsidRPr="00F27022">
        <w:rPr>
          <w:rFonts w:ascii="Book Antiqua" w:hAnsi="Book Antiqua" w:cs="Cambria"/>
          <w:color w:val="000000"/>
        </w:rPr>
        <w:t xml:space="preserve">Si les mesures de contrôle financier sont plus fortes au Canada, une pression sera exercée pour que les mesures du pays s’accordent avec une norme plus dérèglementée, cela peut même lui être imposé. </w:t>
      </w:r>
    </w:p>
    <w:p w:rsidR="002C1434" w:rsidRPr="00F27022" w:rsidRDefault="002C1434" w:rsidP="00F27022">
      <w:pPr>
        <w:pStyle w:val="Pa3"/>
        <w:spacing w:before="280" w:after="180"/>
        <w:ind w:firstLine="708"/>
        <w:rPr>
          <w:rFonts w:ascii="Book Antiqua" w:hAnsi="Book Antiqua" w:cs="Cambria"/>
          <w:color w:val="000000"/>
        </w:rPr>
      </w:pPr>
      <w:r w:rsidRPr="00F27022">
        <w:rPr>
          <w:rFonts w:ascii="Book Antiqua" w:hAnsi="Book Antiqua" w:cs="Cambria"/>
          <w:b/>
          <w:bCs/>
          <w:i/>
          <w:iCs/>
          <w:color w:val="000000"/>
        </w:rPr>
        <w:t xml:space="preserve">Qu’est-ce que le mécanisme de RDIE ? </w:t>
      </w:r>
    </w:p>
    <w:p w:rsidR="002C1434" w:rsidRPr="00F27022" w:rsidRDefault="002C1434" w:rsidP="002C1434">
      <w:pPr>
        <w:pStyle w:val="Pa4"/>
        <w:spacing w:after="180"/>
        <w:rPr>
          <w:rFonts w:ascii="Book Antiqua" w:hAnsi="Book Antiqua" w:cs="Cambria"/>
          <w:color w:val="000000"/>
        </w:rPr>
      </w:pPr>
      <w:r w:rsidRPr="00F27022">
        <w:rPr>
          <w:rFonts w:ascii="Book Antiqua" w:hAnsi="Book Antiqua" w:cs="Cambria"/>
          <w:color w:val="000000"/>
        </w:rPr>
        <w:t>Les dispositions de règlement des différends entre investisseurs et États (RDIE) donnent aux investis</w:t>
      </w:r>
      <w:r w:rsidRPr="00F27022">
        <w:rPr>
          <w:rFonts w:ascii="Book Antiqua" w:hAnsi="Book Antiqua" w:cs="Cambria"/>
          <w:color w:val="000000"/>
        </w:rPr>
        <w:softHyphen/>
        <w:t>seurs privés le droit d’avoir recours aux procédures de règlement des différends, en vertu de la loi inter</w:t>
      </w:r>
      <w:r w:rsidRPr="00F27022">
        <w:rPr>
          <w:rFonts w:ascii="Book Antiqua" w:hAnsi="Book Antiqua" w:cs="Cambria"/>
          <w:color w:val="000000"/>
        </w:rPr>
        <w:softHyphen/>
        <w:t>nationale, contre les gouvernements étrangers. Uti</w:t>
      </w:r>
      <w:r w:rsidRPr="00F27022">
        <w:rPr>
          <w:rFonts w:ascii="Book Antiqua" w:hAnsi="Book Antiqua" w:cs="Cambria"/>
          <w:color w:val="000000"/>
        </w:rPr>
        <w:softHyphen/>
        <w:t>lisé à l’origine pour protéger les entreprises privées des pays riches contre la menace de la nationalisa</w:t>
      </w:r>
      <w:r w:rsidRPr="00F27022">
        <w:rPr>
          <w:rFonts w:ascii="Book Antiqua" w:hAnsi="Book Antiqua" w:cs="Cambria"/>
          <w:color w:val="000000"/>
        </w:rPr>
        <w:softHyphen/>
        <w:t xml:space="preserve">tion dans les pays les plus pauvres, le mécanisme de RDIE s’est considérablement développé au cours des dernières décennies. </w:t>
      </w:r>
    </w:p>
    <w:p w:rsidR="002C1434" w:rsidRPr="00F27022" w:rsidRDefault="002C1434" w:rsidP="002C1434">
      <w:pPr>
        <w:pStyle w:val="Pa4"/>
        <w:spacing w:after="180"/>
        <w:rPr>
          <w:rFonts w:ascii="Book Antiqua" w:hAnsi="Book Antiqua" w:cs="Cambria"/>
          <w:color w:val="000000"/>
        </w:rPr>
      </w:pPr>
      <w:r w:rsidRPr="00F27022">
        <w:rPr>
          <w:rFonts w:ascii="Book Antiqua" w:hAnsi="Book Antiqua" w:cs="Cambria"/>
          <w:color w:val="000000"/>
        </w:rPr>
        <w:lastRenderedPageBreak/>
        <w:t>Les entreprises ont maintenant le droit de pour</w:t>
      </w:r>
      <w:r w:rsidRPr="00F27022">
        <w:rPr>
          <w:rFonts w:ascii="Book Antiqua" w:hAnsi="Book Antiqua" w:cs="Cambria"/>
          <w:color w:val="000000"/>
        </w:rPr>
        <w:softHyphen/>
        <w:t xml:space="preserve">suivre directement les gouvernements étrangers qui instaurent de nouvelles lois ou pratiques (qu’elles soient liées à l’environnement, à la santé ou aux droits de l’homme) qui ont un impact négatif sur leur résultat net. </w:t>
      </w:r>
    </w:p>
    <w:p w:rsidR="002C1434" w:rsidRPr="003F17AA" w:rsidRDefault="00F27022" w:rsidP="00F27022">
      <w:pPr>
        <w:rPr>
          <w:rFonts w:ascii="Book Antiqua" w:hAnsi="Book Antiqua"/>
          <w:sz w:val="28"/>
        </w:rPr>
      </w:pPr>
      <w:r w:rsidRPr="003F17AA">
        <w:rPr>
          <w:rFonts w:ascii="Book Antiqua" w:hAnsi="Book Antiqua" w:cs="Cambria"/>
          <w:color w:val="000000"/>
          <w:sz w:val="24"/>
          <w:szCs w:val="21"/>
        </w:rPr>
        <w:t>De nombreux différends sont traités par le Centre international pour le règlement des différends relatifs aux investissements de la Banque mondiale. Le fabricant de cigarettes, Phillip Morris, a eu re</w:t>
      </w:r>
      <w:r w:rsidRPr="003F17AA">
        <w:rPr>
          <w:rFonts w:ascii="Book Antiqua" w:hAnsi="Book Antiqua" w:cs="Cambria"/>
          <w:color w:val="000000"/>
          <w:sz w:val="24"/>
          <w:szCs w:val="21"/>
        </w:rPr>
        <w:softHyphen/>
        <w:t>cours à ce processus pour intenter des poursuites contre les règles de l’Australie visant la promo</w:t>
      </w:r>
      <w:r w:rsidRPr="003F17AA">
        <w:rPr>
          <w:rFonts w:ascii="Book Antiqua" w:hAnsi="Book Antiqua" w:cs="Cambria"/>
          <w:color w:val="000000"/>
          <w:sz w:val="24"/>
          <w:szCs w:val="21"/>
        </w:rPr>
        <w:softHyphen/>
        <w:t>tion de la santé publique sur les paquets de ciga</w:t>
      </w:r>
      <w:r w:rsidRPr="003F17AA">
        <w:rPr>
          <w:rFonts w:ascii="Book Antiqua" w:hAnsi="Book Antiqua" w:cs="Cambria"/>
          <w:color w:val="000000"/>
          <w:sz w:val="24"/>
          <w:szCs w:val="21"/>
        </w:rPr>
        <w:softHyphen/>
        <w:t>rettes.</w:t>
      </w:r>
    </w:p>
    <w:p w:rsidR="00AF6072" w:rsidRPr="003F17AA" w:rsidRDefault="00AF6072" w:rsidP="00AF6072">
      <w:pPr>
        <w:pStyle w:val="Pa4"/>
        <w:spacing w:after="180"/>
        <w:rPr>
          <w:rFonts w:ascii="Book Antiqua" w:hAnsi="Book Antiqua" w:cs="Cambria"/>
          <w:color w:val="000000"/>
          <w:szCs w:val="21"/>
        </w:rPr>
      </w:pPr>
      <w:r w:rsidRPr="003F17AA">
        <w:rPr>
          <w:rFonts w:ascii="Book Antiqua" w:hAnsi="Book Antiqua" w:cs="Cambria"/>
          <w:color w:val="000000"/>
          <w:szCs w:val="21"/>
        </w:rPr>
        <w:t>Depuis peu, le mécanisme de RDIE est inclus dans des accords bilatéraux et régionaux de façon à per</w:t>
      </w:r>
      <w:r w:rsidRPr="003F17AA">
        <w:rPr>
          <w:rFonts w:ascii="Book Antiqua" w:hAnsi="Book Antiqua" w:cs="Cambria"/>
          <w:color w:val="000000"/>
          <w:szCs w:val="21"/>
        </w:rPr>
        <w:softHyphen/>
        <w:t>mettre aux entreprises d’un pays de poursuivre di</w:t>
      </w:r>
      <w:r w:rsidRPr="003F17AA">
        <w:rPr>
          <w:rFonts w:ascii="Book Antiqua" w:hAnsi="Book Antiqua" w:cs="Cambria"/>
          <w:color w:val="000000"/>
          <w:szCs w:val="21"/>
        </w:rPr>
        <w:softHyphen/>
        <w:t>rectement le gouvernement d’un autre pays à l’aide d’un processus d’arbitrage privé. Le RDIE accorde principalement aux entreprises le même statut que les gouvernements dans ces négociations et priva</w:t>
      </w:r>
      <w:r w:rsidRPr="003F17AA">
        <w:rPr>
          <w:rFonts w:ascii="Book Antiqua" w:hAnsi="Book Antiqua" w:cs="Cambria"/>
          <w:color w:val="000000"/>
          <w:szCs w:val="21"/>
        </w:rPr>
        <w:softHyphen/>
        <w:t xml:space="preserve">tise le système de règlement des différends entre les États. </w:t>
      </w:r>
    </w:p>
    <w:p w:rsidR="00C87391" w:rsidRPr="003F17AA" w:rsidRDefault="00AF6072" w:rsidP="00AF6072">
      <w:pPr>
        <w:rPr>
          <w:rFonts w:ascii="Book Antiqua" w:hAnsi="Book Antiqua" w:cs="Cambria"/>
          <w:color w:val="000000"/>
          <w:sz w:val="24"/>
          <w:szCs w:val="21"/>
        </w:rPr>
      </w:pPr>
      <w:r w:rsidRPr="003F17AA">
        <w:rPr>
          <w:rFonts w:ascii="Book Antiqua" w:hAnsi="Book Antiqua" w:cs="Cambria"/>
          <w:color w:val="000000"/>
          <w:sz w:val="24"/>
          <w:szCs w:val="21"/>
        </w:rPr>
        <w:t>Selon la Conférence des Nations Unies sur le Com</w:t>
      </w:r>
      <w:r w:rsidRPr="003F17AA">
        <w:rPr>
          <w:rFonts w:ascii="Book Antiqua" w:hAnsi="Book Antiqua" w:cs="Cambria"/>
          <w:color w:val="000000"/>
          <w:sz w:val="24"/>
          <w:szCs w:val="21"/>
        </w:rPr>
        <w:softHyphen/>
        <w:t>merce et le Développement (CNUCED), il existe plus de 3200 accords comprenant des dispositions de RDIE (la plupart sont des ententes bilatérales) dans le monde. Ces droits octroyés aux entreprises sont profondément ancrés dans l’ALENA, ainsi que dans les ententes régionales, notamment l’AECG. Les entreprises ont eu recours au mécanisme de RDIE pour intenter des poursuites contre des mesures gouvernementales plus de 600 fois.</w:t>
      </w:r>
    </w:p>
    <w:p w:rsidR="00AF6072" w:rsidRPr="00AF6072" w:rsidRDefault="00AF6072" w:rsidP="00AF6072">
      <w:pPr>
        <w:pStyle w:val="Pa4"/>
        <w:pBdr>
          <w:top w:val="single" w:sz="4" w:space="1" w:color="auto"/>
          <w:left w:val="single" w:sz="4" w:space="4" w:color="auto"/>
          <w:bottom w:val="single" w:sz="4" w:space="1" w:color="auto"/>
          <w:right w:val="single" w:sz="4" w:space="4" w:color="auto"/>
        </w:pBdr>
        <w:spacing w:line="240" w:lineRule="auto"/>
        <w:rPr>
          <w:rFonts w:ascii="Book Antiqua" w:hAnsi="Book Antiqua" w:cs="Cambria"/>
          <w:color w:val="000000"/>
          <w:sz w:val="20"/>
          <w:szCs w:val="21"/>
        </w:rPr>
      </w:pPr>
      <w:r w:rsidRPr="00AF6072">
        <w:rPr>
          <w:rFonts w:ascii="Book Antiqua" w:hAnsi="Book Antiqua" w:cs="Cambria"/>
          <w:color w:val="000000"/>
          <w:sz w:val="20"/>
          <w:szCs w:val="21"/>
        </w:rPr>
        <w:t>Le mécanisme de RDIE menace également les droits de l’homme. En juin 2015, dix rapporteurs spéciaux des Nations Unies sur différents aspects relatifs aux droits de l’homme ont publié une déclaration attirant l’attention sur « l’effet préjudiciable » que pourraient avoir les traités comme l’AECG ou le TTIP sur « la jouissance des droits de l’homme telle qu’elle s’inscrit dans les instruments juridiques con</w:t>
      </w:r>
      <w:r w:rsidRPr="00AF6072">
        <w:rPr>
          <w:rFonts w:ascii="Book Antiqua" w:hAnsi="Book Antiqua" w:cs="Cambria"/>
          <w:color w:val="000000"/>
          <w:sz w:val="20"/>
          <w:szCs w:val="21"/>
        </w:rPr>
        <w:softHyphen/>
        <w:t xml:space="preserve">traignants de l’ONU ». « Nos préoccupations », ont déclaré les experts, « portent sur le droit à la vie, à la nourriture, à l’eau potable et à l’assainissement, à la santé, au logement, à l’éducation, à la science et à la culture, aux normes de droit améliorées, à une justice indépendante, à un environnement propre et à ne pas être soumis à une réinstallation forcée. » </w:t>
      </w:r>
      <w:r w:rsidR="001945F1">
        <w:rPr>
          <w:rFonts w:ascii="Book Antiqua" w:hAnsi="Book Antiqua" w:cs="Cambria"/>
          <w:color w:val="000000"/>
          <w:sz w:val="20"/>
          <w:szCs w:val="21"/>
        </w:rPr>
        <w:t xml:space="preserve">                       </w:t>
      </w:r>
    </w:p>
    <w:p w:rsidR="00C87391" w:rsidRPr="00AF6072" w:rsidRDefault="00AF6072" w:rsidP="00AF6072">
      <w:pPr>
        <w:pBdr>
          <w:top w:val="single" w:sz="4" w:space="1" w:color="auto"/>
          <w:left w:val="single" w:sz="4" w:space="4" w:color="auto"/>
          <w:bottom w:val="single" w:sz="4" w:space="1" w:color="auto"/>
          <w:right w:val="single" w:sz="4" w:space="4" w:color="auto"/>
        </w:pBdr>
        <w:spacing w:after="0" w:line="240" w:lineRule="auto"/>
        <w:rPr>
          <w:rFonts w:ascii="Book Antiqua" w:hAnsi="Book Antiqua"/>
        </w:rPr>
      </w:pPr>
      <w:r w:rsidRPr="00AF6072">
        <w:rPr>
          <w:rFonts w:ascii="Book Antiqua" w:hAnsi="Book Antiqua" w:cs="Cambria"/>
          <w:color w:val="000000"/>
          <w:sz w:val="20"/>
          <w:szCs w:val="21"/>
        </w:rPr>
        <w:t>Les experts ont indiqué que les règlements régis</w:t>
      </w:r>
      <w:r w:rsidRPr="00AF6072">
        <w:rPr>
          <w:rFonts w:ascii="Book Antiqua" w:hAnsi="Book Antiqua" w:cs="Cambria"/>
          <w:color w:val="000000"/>
          <w:sz w:val="20"/>
          <w:szCs w:val="21"/>
        </w:rPr>
        <w:softHyphen/>
        <w:t>sant les différends opposant un investisseur et un État offrent une protection aux investisseurs, mais pas aux États ou à leur population. En observant les antécédents de RDIE, les experts de l’ONU sur les droits de l’homme ont conclu que « la fonction règlementaire de nombreux États et leur capacité à légiférer pour le bien du public sont mises en dan</w:t>
      </w:r>
      <w:r w:rsidRPr="00AF6072">
        <w:rPr>
          <w:rFonts w:ascii="Book Antiqua" w:hAnsi="Book Antiqua" w:cs="Cambria"/>
          <w:color w:val="000000"/>
          <w:sz w:val="20"/>
          <w:szCs w:val="21"/>
        </w:rPr>
        <w:softHyphen/>
        <w:t>ger ».</w:t>
      </w:r>
    </w:p>
    <w:p w:rsidR="00AF6072" w:rsidRPr="00AF6072" w:rsidRDefault="00AF6072" w:rsidP="00AF607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Book Antiqua" w:hAnsi="Book Antiqua" w:cs="Cambria"/>
          <w:color w:val="000000"/>
          <w:szCs w:val="24"/>
        </w:rPr>
      </w:pPr>
    </w:p>
    <w:p w:rsidR="00C87391" w:rsidRPr="00AF6072" w:rsidRDefault="00AF6072" w:rsidP="00AF607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mbria" w:hAnsi="Cambria" w:cs="Cambria"/>
          <w:color w:val="000000"/>
          <w:sz w:val="18"/>
          <w:szCs w:val="18"/>
        </w:rPr>
      </w:pPr>
      <w:r w:rsidRPr="00AF6072">
        <w:rPr>
          <w:rFonts w:ascii="Cambria" w:hAnsi="Cambria" w:cs="Cambria"/>
          <w:color w:val="000000"/>
          <w:sz w:val="18"/>
          <w:szCs w:val="18"/>
        </w:rPr>
        <w:t xml:space="preserve">Bureau du Haut-Commissaire aux droits de l’homme. “UN experts voice concern over adverse impact of free trade and investment agreements on human rights.” Le 2 juin 2015. </w:t>
      </w:r>
    </w:p>
    <w:p w:rsidR="00C87391" w:rsidRDefault="00C87391" w:rsidP="00C87391">
      <w:pPr>
        <w:spacing w:after="0" w:line="240" w:lineRule="auto"/>
        <w:rPr>
          <w:rFonts w:ascii="Book Antiqua" w:hAnsi="Book Antiqua"/>
          <w:sz w:val="24"/>
        </w:rPr>
      </w:pPr>
      <w:r>
        <w:rPr>
          <w:rFonts w:ascii="Book Antiqua" w:hAnsi="Book Antiqua"/>
          <w:sz w:val="24"/>
        </w:rPr>
        <w:t xml:space="preserve"> </w:t>
      </w:r>
    </w:p>
    <w:p w:rsidR="00E42701" w:rsidRDefault="00E42701" w:rsidP="00C87391">
      <w:pPr>
        <w:spacing w:after="0" w:line="240" w:lineRule="auto"/>
        <w:rPr>
          <w:rFonts w:ascii="Book Antiqua" w:hAnsi="Book Antiqua"/>
          <w:sz w:val="24"/>
        </w:rPr>
      </w:pPr>
    </w:p>
    <w:p w:rsidR="001945F1" w:rsidRPr="00E51ED6" w:rsidRDefault="001945F1" w:rsidP="00E51ED6">
      <w:pPr>
        <w:rPr>
          <w:rFonts w:ascii="Book Antiqua" w:hAnsi="Book Antiqua" w:cs="Cambria"/>
          <w:color w:val="000000"/>
          <w:sz w:val="24"/>
          <w:szCs w:val="20"/>
        </w:rPr>
      </w:pPr>
      <w:r w:rsidRPr="00E51ED6">
        <w:rPr>
          <w:rFonts w:ascii="Book Antiqua" w:hAnsi="Book Antiqua" w:cs="Cambria"/>
          <w:color w:val="000000"/>
          <w:sz w:val="24"/>
          <w:szCs w:val="20"/>
        </w:rPr>
        <w:t>L’ALENA a été le premier accord commercial signé entre pays développés à inclure une disposition de règlement régissant les différends opposant un investisseur et un État.</w:t>
      </w:r>
      <w:r w:rsidR="00E51ED6">
        <w:rPr>
          <w:rFonts w:ascii="Book Antiqua" w:hAnsi="Book Antiqua" w:cs="Cambria"/>
          <w:color w:val="000000"/>
          <w:sz w:val="24"/>
          <w:szCs w:val="20"/>
        </w:rPr>
        <w:t xml:space="preserve"> </w:t>
      </w:r>
      <w:r w:rsidRPr="00E51ED6">
        <w:rPr>
          <w:rFonts w:ascii="Book Antiqua" w:hAnsi="Book Antiqua"/>
          <w:sz w:val="24"/>
          <w:szCs w:val="20"/>
        </w:rPr>
        <w:t xml:space="preserve">Parmi les affaires, </w:t>
      </w:r>
      <w:r w:rsidR="00F74209">
        <w:rPr>
          <w:rFonts w:ascii="Book Antiqua" w:hAnsi="Book Antiqua"/>
          <w:sz w:val="24"/>
          <w:szCs w:val="20"/>
        </w:rPr>
        <w:t>on peut</w:t>
      </w:r>
      <w:r w:rsidRPr="00E51ED6">
        <w:rPr>
          <w:rFonts w:ascii="Book Antiqua" w:hAnsi="Book Antiqua"/>
          <w:sz w:val="24"/>
          <w:szCs w:val="20"/>
        </w:rPr>
        <w:t xml:space="preserve"> signaler </w:t>
      </w:r>
      <w:r w:rsidR="00E51ED6">
        <w:rPr>
          <w:rFonts w:ascii="Book Antiqua" w:hAnsi="Book Antiqua"/>
          <w:sz w:val="24"/>
          <w:szCs w:val="20"/>
        </w:rPr>
        <w:t xml:space="preserve">notamment </w:t>
      </w:r>
      <w:r w:rsidR="00F74209">
        <w:rPr>
          <w:rFonts w:ascii="Book Antiqua" w:hAnsi="Book Antiqua"/>
          <w:sz w:val="24"/>
          <w:szCs w:val="20"/>
        </w:rPr>
        <w:t xml:space="preserve">une affaire concernant </w:t>
      </w:r>
      <w:r w:rsidR="00E51ED6">
        <w:rPr>
          <w:rFonts w:ascii="Book Antiqua" w:hAnsi="Book Antiqua"/>
          <w:sz w:val="24"/>
          <w:szCs w:val="20"/>
        </w:rPr>
        <w:t>le</w:t>
      </w:r>
      <w:r w:rsidRPr="00E51ED6">
        <w:rPr>
          <w:rFonts w:ascii="Book Antiqua" w:hAnsi="Book Antiqua" w:cs="Cambria"/>
          <w:color w:val="000000"/>
          <w:sz w:val="24"/>
          <w:szCs w:val="20"/>
        </w:rPr>
        <w:t xml:space="preserve"> géant des produit</w:t>
      </w:r>
      <w:r w:rsidR="00F74209">
        <w:rPr>
          <w:rFonts w:ascii="Book Antiqua" w:hAnsi="Book Antiqua" w:cs="Cambria"/>
          <w:color w:val="000000"/>
          <w:sz w:val="24"/>
          <w:szCs w:val="20"/>
        </w:rPr>
        <w:t>s chimiques, Dow Agro</w:t>
      </w:r>
      <w:r w:rsidR="00F74209">
        <w:rPr>
          <w:rFonts w:ascii="Book Antiqua" w:hAnsi="Book Antiqua" w:cs="Cambria"/>
          <w:color w:val="000000"/>
          <w:sz w:val="24"/>
          <w:szCs w:val="20"/>
        </w:rPr>
        <w:softHyphen/>
        <w:t xml:space="preserve">Sciences. </w:t>
      </w:r>
      <w:r w:rsidR="00E51ED6">
        <w:rPr>
          <w:rFonts w:ascii="Book Antiqua" w:hAnsi="Book Antiqua" w:cs="Cambria"/>
          <w:color w:val="000000"/>
          <w:sz w:val="24"/>
          <w:szCs w:val="20"/>
        </w:rPr>
        <w:t xml:space="preserve">Cette multinationale </w:t>
      </w:r>
      <w:r w:rsidRPr="00E51ED6">
        <w:rPr>
          <w:rFonts w:ascii="Book Antiqua" w:hAnsi="Book Antiqua" w:cs="Cambria"/>
          <w:color w:val="000000"/>
          <w:sz w:val="24"/>
          <w:szCs w:val="20"/>
        </w:rPr>
        <w:t xml:space="preserve">a eu recours à l’ALENA pour forcer la province du Québec, après qu’elle ait interdit le 2,4-D, un pesticide qui selon le Conseil de défense des ressources naturelles a été relié par de </w:t>
      </w:r>
      <w:r w:rsidRPr="00E51ED6">
        <w:rPr>
          <w:rFonts w:ascii="Book Antiqua" w:hAnsi="Book Antiqua" w:cs="Cambria"/>
          <w:color w:val="000000"/>
          <w:sz w:val="24"/>
          <w:szCs w:val="20"/>
        </w:rPr>
        <w:lastRenderedPageBreak/>
        <w:t xml:space="preserve">nombreuses études au cancer et aux dommages cellulaires, à déclarer publiquement que les produits chimiques ne posaient pas de « risque inacceptable » à la santé humaine, un discours que le </w:t>
      </w:r>
      <w:r w:rsidR="00E51ED6">
        <w:rPr>
          <w:rFonts w:ascii="Book Antiqua" w:hAnsi="Book Antiqua" w:cs="Cambria"/>
          <w:color w:val="000000"/>
          <w:sz w:val="24"/>
          <w:szCs w:val="20"/>
        </w:rPr>
        <w:t>g</w:t>
      </w:r>
      <w:r w:rsidRPr="00E51ED6">
        <w:rPr>
          <w:rFonts w:ascii="Book Antiqua" w:hAnsi="Book Antiqua" w:cs="Cambria"/>
          <w:color w:val="000000"/>
          <w:sz w:val="24"/>
          <w:szCs w:val="20"/>
        </w:rPr>
        <w:t>ouvernement avait tenu au</w:t>
      </w:r>
      <w:r w:rsidRPr="00E51ED6">
        <w:rPr>
          <w:rFonts w:ascii="Book Antiqua" w:hAnsi="Book Antiqua" w:cs="Cambria"/>
          <w:color w:val="000000"/>
          <w:sz w:val="24"/>
          <w:szCs w:val="20"/>
        </w:rPr>
        <w:softHyphen/>
        <w:t>paravant.</w:t>
      </w:r>
    </w:p>
    <w:p w:rsidR="001945F1" w:rsidRPr="00E51ED6" w:rsidRDefault="001945F1">
      <w:pPr>
        <w:rPr>
          <w:rFonts w:ascii="Book Antiqua" w:hAnsi="Book Antiqua"/>
          <w:sz w:val="32"/>
        </w:rPr>
      </w:pPr>
    </w:p>
    <w:p w:rsidR="001945F1" w:rsidRPr="003D03A3" w:rsidRDefault="003D03A3" w:rsidP="003D03A3">
      <w:pPr>
        <w:pBdr>
          <w:top w:val="single" w:sz="4" w:space="1" w:color="auto"/>
          <w:left w:val="single" w:sz="4" w:space="4" w:color="auto"/>
          <w:bottom w:val="single" w:sz="4" w:space="1" w:color="auto"/>
          <w:right w:val="single" w:sz="4" w:space="4" w:color="auto"/>
        </w:pBdr>
        <w:rPr>
          <w:rStyle w:val="A6"/>
          <w:rFonts w:ascii="Book Antiqua" w:hAnsi="Book Antiqua"/>
          <w:sz w:val="20"/>
          <w:szCs w:val="20"/>
        </w:rPr>
      </w:pPr>
      <w:r w:rsidRPr="003D03A3">
        <w:rPr>
          <w:rFonts w:ascii="Book Antiqua" w:hAnsi="Book Antiqua" w:cs="Cambria"/>
          <w:color w:val="000000"/>
          <w:sz w:val="20"/>
          <w:szCs w:val="20"/>
        </w:rPr>
        <w:t>De nombreux Européens s’inquiètent également que le TTIP mène, à terme, à des normes plus basses en matière de sécurité alimentaire et de bien-être animal, qui sont généralement plus élevées en Eu</w:t>
      </w:r>
      <w:r w:rsidRPr="003D03A3">
        <w:rPr>
          <w:rFonts w:ascii="Book Antiqua" w:hAnsi="Book Antiqua" w:cs="Cambria"/>
          <w:color w:val="000000"/>
          <w:sz w:val="20"/>
          <w:szCs w:val="20"/>
        </w:rPr>
        <w:softHyphen/>
        <w:t>rope qu’aux États-Unis. Les Amis de la Terre Europe et le Center for Food Safety (centre pour la sécurité alimentaire) basé aux États-Unis mettent en garde contre les exigences de coopération règlementaire du TTIP qui donnent clairement le droit à un nouvel organisme composé d’experts en commerce et en règlementation de filtrer toutes les nouvelles règles sur la sécurité alimentaire, faisant ainsi passer le pouvoir des gouvernements à des représentants de l’industrie</w:t>
      </w:r>
      <w:r>
        <w:rPr>
          <w:rStyle w:val="FootnoteReference"/>
          <w:rFonts w:ascii="Book Antiqua" w:hAnsi="Book Antiqua" w:cs="Cambria"/>
          <w:color w:val="000000"/>
          <w:sz w:val="20"/>
          <w:szCs w:val="20"/>
        </w:rPr>
        <w:footnoteReference w:id="1"/>
      </w:r>
      <w:r w:rsidRPr="003D03A3">
        <w:rPr>
          <w:rFonts w:ascii="Book Antiqua" w:hAnsi="Book Antiqua" w:cs="Cambria"/>
          <w:color w:val="000000"/>
          <w:sz w:val="20"/>
          <w:szCs w:val="20"/>
        </w:rPr>
        <w:t>.</w:t>
      </w:r>
    </w:p>
    <w:p w:rsidR="003D03A3" w:rsidRPr="003D03A3" w:rsidRDefault="003D03A3" w:rsidP="003D03A3">
      <w:pPr>
        <w:pStyle w:val="Pa4"/>
        <w:pBdr>
          <w:top w:val="single" w:sz="4" w:space="1" w:color="auto"/>
          <w:left w:val="single" w:sz="4" w:space="4" w:color="auto"/>
          <w:bottom w:val="single" w:sz="4" w:space="1" w:color="auto"/>
          <w:right w:val="single" w:sz="4" w:space="4" w:color="auto"/>
        </w:pBdr>
        <w:spacing w:after="180"/>
        <w:rPr>
          <w:rFonts w:ascii="Book Antiqua" w:hAnsi="Book Antiqua" w:cs="Cambria"/>
          <w:color w:val="000000"/>
          <w:sz w:val="20"/>
          <w:szCs w:val="20"/>
        </w:rPr>
      </w:pPr>
      <w:r w:rsidRPr="003D03A3">
        <w:rPr>
          <w:rFonts w:ascii="Book Antiqua" w:hAnsi="Book Antiqua" w:cs="Cambria"/>
          <w:color w:val="000000"/>
          <w:sz w:val="20"/>
          <w:szCs w:val="20"/>
        </w:rPr>
        <w:t xml:space="preserve">On constate déjà des signes de mise en conformité. L’Europe a abandonné son interdiction sur la viande de </w:t>
      </w:r>
      <w:r w:rsidR="00E8533A" w:rsidRPr="003D03A3">
        <w:rPr>
          <w:rFonts w:ascii="Book Antiqua" w:hAnsi="Book Antiqua" w:cs="Cambria"/>
          <w:color w:val="000000"/>
          <w:sz w:val="20"/>
          <w:szCs w:val="20"/>
        </w:rPr>
        <w:t>bœuf</w:t>
      </w:r>
      <w:r w:rsidRPr="003D03A3">
        <w:rPr>
          <w:rFonts w:ascii="Book Antiqua" w:hAnsi="Book Antiqua" w:cs="Cambria"/>
          <w:color w:val="000000"/>
          <w:sz w:val="20"/>
          <w:szCs w:val="20"/>
        </w:rPr>
        <w:t xml:space="preserve"> lavée à l’acide lactique afin de faciliter les négociations sur l’AECG et le TTIP, car les deux pays autorisent cette pratique et aimeraient ou</w:t>
      </w:r>
      <w:r w:rsidRPr="003D03A3">
        <w:rPr>
          <w:rFonts w:ascii="Book Antiqua" w:hAnsi="Book Antiqua" w:cs="Cambria"/>
          <w:color w:val="000000"/>
          <w:sz w:val="20"/>
          <w:szCs w:val="20"/>
        </w:rPr>
        <w:softHyphen/>
        <w:t>vrir le marché européen à leurs exportations de vi</w:t>
      </w:r>
      <w:r w:rsidRPr="003D03A3">
        <w:rPr>
          <w:rFonts w:ascii="Book Antiqua" w:hAnsi="Book Antiqua" w:cs="Cambria"/>
          <w:color w:val="000000"/>
          <w:sz w:val="20"/>
          <w:szCs w:val="20"/>
        </w:rPr>
        <w:softHyphen/>
        <w:t>ande de boeuf. Cependant, si, à l’avenir, l’UE décidait de rétablir l’interdiction de cette pratique, les entre</w:t>
      </w:r>
      <w:r w:rsidRPr="003D03A3">
        <w:rPr>
          <w:rFonts w:ascii="Book Antiqua" w:hAnsi="Book Antiqua" w:cs="Cambria"/>
          <w:color w:val="000000"/>
          <w:sz w:val="20"/>
          <w:szCs w:val="20"/>
        </w:rPr>
        <w:softHyphen/>
        <w:t>prises américaines du secteur de l’agroentreprise pourraient poursuivre l’UE pour obtenir des</w:t>
      </w:r>
      <w:r w:rsidR="009A5F6D">
        <w:rPr>
          <w:rFonts w:ascii="Book Antiqua" w:hAnsi="Book Antiqua" w:cs="Cambria"/>
          <w:color w:val="000000"/>
          <w:sz w:val="20"/>
          <w:szCs w:val="20"/>
        </w:rPr>
        <w:t xml:space="preserve"> dédom</w:t>
      </w:r>
      <w:r w:rsidR="009A5F6D">
        <w:rPr>
          <w:rFonts w:ascii="Book Antiqua" w:hAnsi="Book Antiqua" w:cs="Cambria"/>
          <w:color w:val="000000"/>
          <w:sz w:val="20"/>
          <w:szCs w:val="20"/>
        </w:rPr>
        <w:softHyphen/>
        <w:t>magements</w:t>
      </w:r>
      <w:r w:rsidRPr="003D03A3">
        <w:rPr>
          <w:rFonts w:ascii="Book Antiqua" w:hAnsi="Book Antiqua" w:cs="Cambria"/>
          <w:color w:val="000000"/>
          <w:sz w:val="20"/>
          <w:szCs w:val="20"/>
        </w:rPr>
        <w:t xml:space="preserve">. </w:t>
      </w:r>
    </w:p>
    <w:p w:rsidR="003D03A3" w:rsidRPr="003D03A3" w:rsidRDefault="003D03A3" w:rsidP="003D03A3">
      <w:pPr>
        <w:pBdr>
          <w:top w:val="single" w:sz="4" w:space="1" w:color="auto"/>
          <w:left w:val="single" w:sz="4" w:space="4" w:color="auto"/>
          <w:bottom w:val="single" w:sz="4" w:space="1" w:color="auto"/>
          <w:right w:val="single" w:sz="4" w:space="4" w:color="auto"/>
        </w:pBdr>
        <w:rPr>
          <w:rStyle w:val="A6"/>
          <w:rFonts w:ascii="Book Antiqua" w:hAnsi="Book Antiqua"/>
          <w:sz w:val="20"/>
          <w:szCs w:val="20"/>
        </w:rPr>
      </w:pPr>
      <w:r w:rsidRPr="003D03A3">
        <w:rPr>
          <w:rFonts w:ascii="Book Antiqua" w:hAnsi="Book Antiqua" w:cs="Cambria"/>
          <w:color w:val="000000"/>
          <w:sz w:val="20"/>
          <w:szCs w:val="20"/>
        </w:rPr>
        <w:t>Dans un important rapport, Food and Water Watch Europe (FWWE) met en garde contre le TTIP et l’AECG qui pourront être utilisés pour contester les lois plus strictes de l’Europe sur les OGM. Aujourd’hui, rapporte FWWE, l’Europe possède uniquement une entreprise de biotechnologie approuvée pour la culture et cultive moins d’un dixième d’un pour cent des terres cultivées issues du génie génétique du monde. Les entreprises de biotechnologie américaines comme Monsanto et Dow pourraient contester les approbations tardives de l’Europe au moyen des dispositions de RDIE du TTIP ou de l’AECG, et les entreprises de biotechnolo</w:t>
      </w:r>
      <w:r w:rsidRPr="003D03A3">
        <w:rPr>
          <w:rFonts w:ascii="Book Antiqua" w:hAnsi="Book Antiqua" w:cs="Cambria"/>
          <w:color w:val="000000"/>
          <w:sz w:val="20"/>
          <w:szCs w:val="20"/>
        </w:rPr>
        <w:softHyphen/>
        <w:t>gie européennes comme BASF et Syngenta pour</w:t>
      </w:r>
      <w:r w:rsidRPr="003D03A3">
        <w:rPr>
          <w:rFonts w:ascii="Book Antiqua" w:hAnsi="Book Antiqua" w:cs="Cambria"/>
          <w:color w:val="000000"/>
          <w:sz w:val="20"/>
          <w:szCs w:val="20"/>
        </w:rPr>
        <w:softHyphen/>
        <w:t>raient attaquer les tentatives des États-Unis en mat</w:t>
      </w:r>
      <w:r w:rsidRPr="003D03A3">
        <w:rPr>
          <w:rFonts w:ascii="Book Antiqua" w:hAnsi="Book Antiqua" w:cs="Cambria"/>
          <w:color w:val="000000"/>
          <w:sz w:val="20"/>
          <w:szCs w:val="20"/>
        </w:rPr>
        <w:softHyphen/>
        <w:t>ière d’initiatives d’étiquetage alimentaire</w:t>
      </w:r>
      <w:r>
        <w:rPr>
          <w:rStyle w:val="FootnoteReference"/>
          <w:rFonts w:ascii="Book Antiqua" w:hAnsi="Book Antiqua" w:cs="Cambria"/>
          <w:color w:val="000000"/>
          <w:sz w:val="20"/>
          <w:szCs w:val="20"/>
        </w:rPr>
        <w:footnoteReference w:id="2"/>
      </w:r>
      <w:r w:rsidRPr="003D03A3">
        <w:rPr>
          <w:rFonts w:ascii="Book Antiqua" w:hAnsi="Book Antiqua" w:cs="Cambria"/>
          <w:color w:val="000000"/>
          <w:sz w:val="20"/>
          <w:szCs w:val="20"/>
        </w:rPr>
        <w:t>.</w:t>
      </w:r>
    </w:p>
    <w:p w:rsidR="003D03A3" w:rsidRDefault="003D03A3" w:rsidP="003D03A3">
      <w:pPr>
        <w:rPr>
          <w:rStyle w:val="A6"/>
        </w:rPr>
      </w:pPr>
    </w:p>
    <w:p w:rsidR="00E36A4A" w:rsidRDefault="00E470A3" w:rsidP="00F74EE3">
      <w:pPr>
        <w:spacing w:after="0" w:line="240" w:lineRule="auto"/>
        <w:rPr>
          <w:rFonts w:ascii="Book Antiqua" w:hAnsi="Book Antiqua"/>
          <w:b/>
          <w:sz w:val="24"/>
        </w:rPr>
      </w:pPr>
      <w:r w:rsidRPr="00E470A3">
        <w:rPr>
          <w:rFonts w:ascii="Book Antiqua" w:hAnsi="Book Antiqua"/>
          <w:b/>
          <w:sz w:val="24"/>
        </w:rPr>
        <w:t xml:space="preserve">En </w:t>
      </w:r>
      <w:r w:rsidR="00DA170E">
        <w:rPr>
          <w:rFonts w:ascii="Book Antiqua" w:hAnsi="Book Antiqua"/>
          <w:b/>
          <w:sz w:val="24"/>
        </w:rPr>
        <w:t xml:space="preserve">guise de </w:t>
      </w:r>
      <w:r w:rsidRPr="00E470A3">
        <w:rPr>
          <w:rFonts w:ascii="Book Antiqua" w:hAnsi="Book Antiqua"/>
          <w:b/>
          <w:sz w:val="24"/>
        </w:rPr>
        <w:t xml:space="preserve">conclusion : </w:t>
      </w:r>
    </w:p>
    <w:p w:rsidR="00AA0720" w:rsidRPr="003B1E48" w:rsidRDefault="00AA0720" w:rsidP="001C1FA0">
      <w:pPr>
        <w:pStyle w:val="ListParagraph"/>
        <w:numPr>
          <w:ilvl w:val="0"/>
          <w:numId w:val="1"/>
        </w:numPr>
        <w:spacing w:before="100" w:beforeAutospacing="1" w:after="100" w:afterAutospacing="1" w:line="240" w:lineRule="auto"/>
        <w:jc w:val="both"/>
        <w:rPr>
          <w:rFonts w:ascii="Book Antiqua" w:eastAsia="Times New Roman" w:hAnsi="Book Antiqua" w:cs="Times New Roman"/>
          <w:sz w:val="24"/>
          <w:szCs w:val="24"/>
          <w:lang w:eastAsia="fr-FR"/>
        </w:rPr>
      </w:pPr>
      <w:r w:rsidRPr="003B1E48">
        <w:rPr>
          <w:rFonts w:ascii="Book Antiqua" w:eastAsia="Times New Roman" w:hAnsi="Book Antiqua" w:cs="Times New Roman"/>
          <w:b/>
          <w:bCs/>
          <w:i/>
          <w:iCs/>
          <w:sz w:val="24"/>
          <w:szCs w:val="24"/>
          <w:lang w:eastAsia="fr-FR"/>
        </w:rPr>
        <w:t>Les obligations de l’Accord engageront tous les niveaux de gouvernement</w:t>
      </w:r>
    </w:p>
    <w:p w:rsidR="00AA0720" w:rsidRPr="003B1E48" w:rsidRDefault="00AA0720" w:rsidP="003B1E48">
      <w:pPr>
        <w:spacing w:before="100" w:beforeAutospacing="1" w:after="100" w:afterAutospacing="1" w:line="240" w:lineRule="auto"/>
        <w:jc w:val="both"/>
        <w:rPr>
          <w:rFonts w:ascii="Book Antiqua" w:eastAsia="Times New Roman" w:hAnsi="Book Antiqua" w:cs="Times New Roman"/>
          <w:sz w:val="24"/>
          <w:szCs w:val="24"/>
          <w:lang w:eastAsia="fr-FR"/>
        </w:rPr>
      </w:pPr>
      <w:r w:rsidRPr="003B1E48">
        <w:rPr>
          <w:rFonts w:ascii="Book Antiqua" w:eastAsia="Times New Roman" w:hAnsi="Book Antiqua" w:cs="Times New Roman"/>
          <w:sz w:val="24"/>
          <w:szCs w:val="24"/>
          <w:lang w:eastAsia="fr-FR"/>
        </w:rPr>
        <w:t>Si l’Accord est adopté dans les termes du mandat européen de négociation, cela signifie qu’il s’appliquera non seulement aux États de l’UE, mais également à toutes les composantes de ces États : en France, les Régions, les Départements, les Communes</w:t>
      </w:r>
      <w:r w:rsidRPr="003B1E48">
        <w:rPr>
          <w:rStyle w:val="FootnoteReference"/>
          <w:rFonts w:ascii="Book Antiqua" w:eastAsia="Times New Roman" w:hAnsi="Book Antiqua" w:cs="Times New Roman"/>
          <w:b/>
          <w:bCs/>
          <w:i/>
          <w:iCs/>
          <w:sz w:val="24"/>
          <w:szCs w:val="24"/>
          <w:lang w:eastAsia="fr-FR"/>
        </w:rPr>
        <w:footnoteReference w:id="3"/>
      </w:r>
      <w:r w:rsidR="000A23A1" w:rsidRPr="003B1E48">
        <w:rPr>
          <w:rFonts w:ascii="Book Antiqua" w:eastAsia="Times New Roman" w:hAnsi="Book Antiqua" w:cs="Times New Roman"/>
          <w:sz w:val="24"/>
          <w:szCs w:val="24"/>
          <w:lang w:eastAsia="fr-FR"/>
        </w:rPr>
        <w:t>.</w:t>
      </w:r>
    </w:p>
    <w:p w:rsidR="000A23A1" w:rsidRPr="003B1E48" w:rsidRDefault="000A23A1" w:rsidP="001C1FA0">
      <w:pPr>
        <w:spacing w:before="100" w:beforeAutospacing="1" w:after="100" w:afterAutospacing="1" w:line="240" w:lineRule="auto"/>
        <w:jc w:val="both"/>
        <w:rPr>
          <w:rFonts w:ascii="Book Antiqua" w:eastAsia="Times New Roman" w:hAnsi="Book Antiqua" w:cs="Times New Roman"/>
          <w:sz w:val="24"/>
          <w:szCs w:val="24"/>
          <w:lang w:eastAsia="fr-FR"/>
        </w:rPr>
      </w:pPr>
      <w:r w:rsidRPr="003B1E48">
        <w:rPr>
          <w:rFonts w:ascii="Book Antiqua" w:eastAsia="Times New Roman" w:hAnsi="Book Antiqua" w:cs="Times New Roman"/>
          <w:sz w:val="24"/>
          <w:szCs w:val="24"/>
          <w:lang w:eastAsia="fr-FR"/>
        </w:rPr>
        <w:t xml:space="preserve">Avalisées par le Parlement de </w:t>
      </w:r>
      <w:r w:rsidR="003B1E48" w:rsidRPr="003B1E48">
        <w:rPr>
          <w:rFonts w:ascii="Book Antiqua" w:eastAsia="Times New Roman" w:hAnsi="Book Antiqua" w:cs="Times New Roman"/>
          <w:sz w:val="24"/>
          <w:szCs w:val="24"/>
          <w:lang w:eastAsia="fr-FR"/>
        </w:rPr>
        <w:t>Strasbourg</w:t>
      </w:r>
      <w:r w:rsidRPr="003B1E48">
        <w:rPr>
          <w:rFonts w:ascii="Book Antiqua" w:eastAsia="Times New Roman" w:hAnsi="Book Antiqua" w:cs="Times New Roman"/>
          <w:sz w:val="24"/>
          <w:szCs w:val="24"/>
          <w:lang w:eastAsia="fr-FR"/>
        </w:rPr>
        <w:t xml:space="preserve"> le 8 mai 2015, les tractations secrètes en vue d’établir un grand marché transatlantique (GMT) se poursuivent entre l’UE et les </w:t>
      </w:r>
      <w:r w:rsidRPr="003B1E48">
        <w:rPr>
          <w:rFonts w:ascii="Book Antiqua" w:eastAsia="Times New Roman" w:hAnsi="Book Antiqua" w:cs="Times New Roman"/>
          <w:sz w:val="24"/>
          <w:szCs w:val="24"/>
          <w:lang w:eastAsia="fr-FR"/>
        </w:rPr>
        <w:lastRenderedPageBreak/>
        <w:t>Etats-Unis. Mais, face aux dangers de ce traité de libre-échange, une résistance s’organise des deux côtés de l’Atlanti</w:t>
      </w:r>
      <w:r w:rsidR="003B1E48" w:rsidRPr="003B1E48">
        <w:rPr>
          <w:rFonts w:ascii="Book Antiqua" w:eastAsia="Times New Roman" w:hAnsi="Book Antiqua" w:cs="Times New Roman"/>
          <w:sz w:val="24"/>
          <w:szCs w:val="24"/>
          <w:lang w:eastAsia="fr-FR"/>
        </w:rPr>
        <w:t>q</w:t>
      </w:r>
      <w:r w:rsidRPr="003B1E48">
        <w:rPr>
          <w:rFonts w:ascii="Book Antiqua" w:eastAsia="Times New Roman" w:hAnsi="Book Antiqua" w:cs="Times New Roman"/>
          <w:sz w:val="24"/>
          <w:szCs w:val="24"/>
          <w:lang w:eastAsia="fr-FR"/>
        </w:rPr>
        <w:t>ue, jusqu’au cœur des collectivités territoriales. Le Conseil Régional d’Ile-de-France demande l’arrêt des négociations sur le TTIP (…) du fait de l’absence</w:t>
      </w:r>
      <w:r w:rsidR="003B1E48" w:rsidRPr="003B1E48">
        <w:rPr>
          <w:rFonts w:ascii="Book Antiqua" w:eastAsia="Times New Roman" w:hAnsi="Book Antiqua" w:cs="Times New Roman"/>
          <w:sz w:val="24"/>
          <w:szCs w:val="24"/>
          <w:lang w:eastAsia="fr-FR"/>
        </w:rPr>
        <w:t xml:space="preserve"> de contrôle démocratique et de débat public sur les négociations en cours. La région Ile-de-France fut la première dans l’Hexagone à se déclarer « zone hors TTIP » (ou hors « TAFTA », pour reprendre l’acronyme du premier nom anglais du projet (…). Depuis le vote de cette délibération le 14 février 2014, près de 500 collectivités territoriales françaises de toute taille ont voté une motion similaire, représentant 54% de la population du pays.</w:t>
      </w:r>
      <w:r w:rsidR="003B1E48" w:rsidRPr="003B1E48">
        <w:rPr>
          <w:rStyle w:val="FootnoteReference"/>
          <w:rFonts w:ascii="Book Antiqua" w:eastAsia="Times New Roman" w:hAnsi="Book Antiqua" w:cs="Times New Roman"/>
          <w:sz w:val="24"/>
          <w:szCs w:val="24"/>
          <w:lang w:eastAsia="fr-FR"/>
        </w:rPr>
        <w:footnoteReference w:id="4"/>
      </w:r>
    </w:p>
    <w:p w:rsidR="001C1FA0" w:rsidRDefault="001C1FA0" w:rsidP="001C1FA0">
      <w:pPr>
        <w:pStyle w:val="ListParagraph"/>
        <w:numPr>
          <w:ilvl w:val="0"/>
          <w:numId w:val="1"/>
        </w:numPr>
        <w:spacing w:after="0" w:line="240" w:lineRule="auto"/>
        <w:ind w:left="723"/>
        <w:rPr>
          <w:rFonts w:ascii="Book Antiqua" w:hAnsi="Book Antiqua"/>
          <w:b/>
          <w:i/>
          <w:sz w:val="24"/>
        </w:rPr>
      </w:pPr>
      <w:r w:rsidRPr="001C1FA0">
        <w:rPr>
          <w:rFonts w:ascii="Book Antiqua" w:hAnsi="Book Antiqua"/>
          <w:b/>
          <w:i/>
          <w:sz w:val="24"/>
        </w:rPr>
        <w:t>Un traité contre les paysans et la cause animale</w:t>
      </w:r>
      <w:r w:rsidRPr="001C1FA0">
        <w:rPr>
          <w:rStyle w:val="FootnoteReference"/>
          <w:rFonts w:ascii="Book Antiqua" w:hAnsi="Book Antiqua"/>
          <w:b/>
          <w:i/>
          <w:sz w:val="24"/>
        </w:rPr>
        <w:footnoteReference w:id="5"/>
      </w:r>
    </w:p>
    <w:p w:rsidR="001C1FA0" w:rsidRDefault="001C1FA0" w:rsidP="001C1FA0">
      <w:pPr>
        <w:spacing w:after="0" w:line="240" w:lineRule="auto"/>
        <w:rPr>
          <w:rFonts w:ascii="Book Antiqua" w:eastAsia="Times New Roman" w:hAnsi="Book Antiqua" w:cs="Helvetica"/>
          <w:color w:val="333333"/>
          <w:sz w:val="24"/>
          <w:szCs w:val="18"/>
          <w:lang w:eastAsia="fr-FR"/>
        </w:rPr>
      </w:pPr>
    </w:p>
    <w:p w:rsidR="00FD0A4E" w:rsidRPr="00FD0A4E" w:rsidRDefault="00FD0A4E" w:rsidP="001C1FA0">
      <w:pPr>
        <w:spacing w:after="0" w:line="240" w:lineRule="auto"/>
        <w:rPr>
          <w:rFonts w:ascii="Book Antiqua" w:eastAsia="Times New Roman" w:hAnsi="Book Antiqua" w:cs="Helvetica"/>
          <w:color w:val="333333"/>
          <w:sz w:val="24"/>
          <w:szCs w:val="18"/>
          <w:lang w:eastAsia="fr-FR"/>
        </w:rPr>
      </w:pPr>
      <w:r w:rsidRPr="00F74EE3">
        <w:rPr>
          <w:rFonts w:ascii="Book Antiqua" w:eastAsia="Times New Roman" w:hAnsi="Book Antiqua" w:cs="Helvetica"/>
          <w:color w:val="333333"/>
          <w:sz w:val="24"/>
          <w:szCs w:val="18"/>
          <w:lang w:eastAsia="fr-FR"/>
        </w:rPr>
        <w:t>L</w:t>
      </w:r>
      <w:r w:rsidRPr="00FD0A4E">
        <w:rPr>
          <w:rFonts w:ascii="Book Antiqua" w:eastAsia="Times New Roman" w:hAnsi="Book Antiqua" w:cs="Helvetica"/>
          <w:color w:val="333333"/>
          <w:sz w:val="24"/>
          <w:szCs w:val="18"/>
          <w:lang w:eastAsia="fr-FR"/>
        </w:rPr>
        <w:t>e TTIP, en cherchant à supprimer les barrières commerciales non-tarifaires entre l'Union européenne et les États-Unis, représente un risque de révision à la baisse des normes régulant les conditions d'élevage des animaux. La situation européenne en la matière, certes non idéale, est plus avancée que dans les autres pays. L'UE régule la protection des animaux "de la ferme à l'assiette", c'est à dire sur l'ensemble des étapes de la production (élevage, transport et abattage). Elle interdit les hormones de croissance et est nettement moins tolérante avec les aliments génétiquement modifiés et les antibiotiques que les États-Unis. De plus, depuis 2013, l'UE interdit l'expérimentation animale pour les produits cosmétiques, ainsi que l'importation de produits qui ont été testés sur les animaux.</w:t>
      </w:r>
    </w:p>
    <w:p w:rsidR="00F74EE3" w:rsidRDefault="00F74EE3" w:rsidP="00F74EE3">
      <w:pPr>
        <w:spacing w:after="0" w:line="240" w:lineRule="auto"/>
        <w:rPr>
          <w:rFonts w:ascii="Book Antiqua" w:eastAsia="Times New Roman" w:hAnsi="Book Antiqua" w:cs="Helvetica"/>
          <w:color w:val="333333"/>
          <w:sz w:val="24"/>
          <w:szCs w:val="18"/>
          <w:lang w:eastAsia="fr-FR"/>
        </w:rPr>
      </w:pPr>
    </w:p>
    <w:p w:rsidR="00FD0A4E" w:rsidRPr="00FD0A4E" w:rsidRDefault="00FD0A4E" w:rsidP="00F74EE3">
      <w:pPr>
        <w:spacing w:after="0" w:line="240" w:lineRule="auto"/>
        <w:rPr>
          <w:rFonts w:ascii="Book Antiqua" w:eastAsia="Times New Roman" w:hAnsi="Book Antiqua" w:cs="Helvetica"/>
          <w:color w:val="333333"/>
          <w:sz w:val="24"/>
          <w:szCs w:val="18"/>
          <w:lang w:eastAsia="fr-FR"/>
        </w:rPr>
      </w:pPr>
      <w:r w:rsidRPr="00FD0A4E">
        <w:rPr>
          <w:rFonts w:ascii="Book Antiqua" w:eastAsia="Times New Roman" w:hAnsi="Book Antiqua" w:cs="Helvetica"/>
          <w:color w:val="333333"/>
          <w:sz w:val="24"/>
          <w:szCs w:val="18"/>
          <w:lang w:eastAsia="fr-FR"/>
        </w:rPr>
        <w:t>Alors que l'Europe a inscrit le bien-être animal dans ses principes fondamentaux (Traité de Lisbonne de l'Union Européenne, 2009), la législation fédérale étasunienne n'en a clairement rien à faire : il existe une seule régulation fédérale qui inclut quelques aspects de protection des animaux uniquement lors de l'abattage, centrée sur le produit final. Mais, à l'exception de quelques États, elle n'interdit pas le confinement extrême, elle soutient, aux côtés des multinationales, l'utilisation des produits transgéniques pour la consommation humaine et animale, elle admet le clonage animal pour la consommation humaine, elle accepte l'expérimentation animale pour les produits cosmétiques et d'hygiène, elle n'inclut pas dans sa loi sur le bien-être animal les oiseaux, les poissons, les rats et les souris, qui sont les espèces les plus utilisées en laboratoire, etc. Quant à sa législation sur le transport d'animaux, elle date de 1873 !</w:t>
      </w:r>
    </w:p>
    <w:p w:rsidR="00F74EE3" w:rsidRDefault="00F74EE3" w:rsidP="00F74EE3">
      <w:pPr>
        <w:spacing w:after="0" w:line="240" w:lineRule="auto"/>
        <w:rPr>
          <w:rFonts w:ascii="Book Antiqua" w:eastAsia="Times New Roman" w:hAnsi="Book Antiqua" w:cs="Helvetica"/>
          <w:color w:val="333333"/>
          <w:sz w:val="24"/>
          <w:szCs w:val="18"/>
          <w:lang w:eastAsia="fr-FR"/>
        </w:rPr>
      </w:pPr>
    </w:p>
    <w:p w:rsidR="00FD0A4E" w:rsidRPr="00FD0A4E" w:rsidRDefault="00FD0A4E" w:rsidP="00F74EE3">
      <w:pPr>
        <w:spacing w:after="0" w:line="240" w:lineRule="auto"/>
        <w:rPr>
          <w:rFonts w:ascii="Book Antiqua" w:eastAsia="Times New Roman" w:hAnsi="Book Antiqua" w:cs="Helvetica"/>
          <w:color w:val="333333"/>
          <w:sz w:val="24"/>
          <w:szCs w:val="18"/>
          <w:lang w:eastAsia="fr-FR"/>
        </w:rPr>
      </w:pPr>
      <w:r w:rsidRPr="00FD0A4E">
        <w:rPr>
          <w:rFonts w:ascii="Book Antiqua" w:eastAsia="Times New Roman" w:hAnsi="Book Antiqua" w:cs="Helvetica"/>
          <w:color w:val="333333"/>
          <w:sz w:val="24"/>
          <w:szCs w:val="18"/>
          <w:lang w:eastAsia="fr-FR"/>
        </w:rPr>
        <w:t>De son côté, le lobby agro-industriel américain de la viande a un objectif clair</w:t>
      </w:r>
      <w:r w:rsidRPr="00F74EE3">
        <w:rPr>
          <w:rFonts w:ascii="Book Antiqua" w:eastAsia="Times New Roman" w:hAnsi="Book Antiqua" w:cs="Helvetica"/>
          <w:color w:val="333333"/>
          <w:sz w:val="24"/>
          <w:szCs w:val="18"/>
          <w:lang w:eastAsia="fr-FR"/>
        </w:rPr>
        <w:t xml:space="preserve"> </w:t>
      </w:r>
      <w:r w:rsidRPr="00FD0A4E">
        <w:rPr>
          <w:rFonts w:ascii="Book Antiqua" w:eastAsia="Times New Roman" w:hAnsi="Book Antiqua" w:cs="Helvetica"/>
          <w:color w:val="333333"/>
          <w:sz w:val="24"/>
          <w:szCs w:val="18"/>
          <w:lang w:eastAsia="fr-FR"/>
        </w:rPr>
        <w:t xml:space="preserve">: les négociations du TTIP doivent servir à contrer les normes européennes. Par exemple, le Conseil National des Producteurs de Porcs des États-Unis déclare, en s'appuyant </w:t>
      </w:r>
      <w:r w:rsidRPr="00FD0A4E">
        <w:rPr>
          <w:rFonts w:ascii="Book Antiqua" w:eastAsia="Times New Roman" w:hAnsi="Book Antiqua" w:cs="Helvetica"/>
          <w:color w:val="333333"/>
          <w:sz w:val="24"/>
          <w:szCs w:val="18"/>
          <w:lang w:eastAsia="fr-FR"/>
        </w:rPr>
        <w:lastRenderedPageBreak/>
        <w:t>sur les accords de l'Organisation Mondiale du Commerce (OMC), que le TTIP ne devrait permettre aucune restriction des importations européennes basée sur le bien-être animal. Il souhaite notamment la fin de toutes les barrières non-tarifaires, dont les restrictions sanitaires et phytosanitaires. Par exemple, les producteurs de porc américains exigent l'autorisation de la ractopamine (additif alimentaire utilisé aux États-Unis pour accélérer la croissance des porcs), qui est pourtant interdite dans l'UE et dans plus de 150 pays pour ses effets secondaires sur les animaux et sur la santé humaine.</w:t>
      </w:r>
    </w:p>
    <w:p w:rsidR="00F74EE3" w:rsidRDefault="00F74EE3" w:rsidP="00F74EE3">
      <w:pPr>
        <w:spacing w:after="0" w:line="240" w:lineRule="auto"/>
        <w:rPr>
          <w:rFonts w:ascii="Book Antiqua" w:eastAsia="Times New Roman" w:hAnsi="Book Antiqua" w:cs="Helvetica"/>
          <w:color w:val="333333"/>
          <w:sz w:val="24"/>
          <w:szCs w:val="18"/>
          <w:lang w:eastAsia="fr-FR"/>
        </w:rPr>
      </w:pPr>
    </w:p>
    <w:p w:rsidR="00F74EE3" w:rsidRPr="00F74EE3" w:rsidRDefault="00F74EE3" w:rsidP="00F74EE3">
      <w:pPr>
        <w:spacing w:after="0" w:line="240" w:lineRule="auto"/>
        <w:rPr>
          <w:rFonts w:ascii="Book Antiqua" w:eastAsia="Times New Roman" w:hAnsi="Book Antiqua" w:cs="Helvetica"/>
          <w:color w:val="333333"/>
          <w:sz w:val="24"/>
          <w:szCs w:val="18"/>
          <w:lang w:eastAsia="fr-FR"/>
        </w:rPr>
      </w:pPr>
      <w:r w:rsidRPr="00F74EE3">
        <w:rPr>
          <w:rFonts w:ascii="Book Antiqua" w:eastAsia="Times New Roman" w:hAnsi="Book Antiqua" w:cs="Helvetica"/>
          <w:color w:val="333333"/>
          <w:sz w:val="24"/>
          <w:szCs w:val="18"/>
          <w:lang w:eastAsia="fr-FR"/>
        </w:rPr>
        <w:t>Dans le cas d'une convergence normative au sein du TTIP, celle-ci se fera en tirant vers le bas les normes sur le bien-être animal en vigueur en Europe (puisqu'il est difficile d'imaginer que les États-Unis alignent les leurs sur celles de l'UE). De plus, la position de négociatrice initiale de l'Union européenne (publiée le 8 janvier 2015) n'est pas réjouissante : alors qu'elle souhaite "préserver le droit de chaque partie à protéger la vie humaine, animale ou végétale sur son territoire", elle ajoute au point suivant que "les mesures sanitaires et phytosanitaires ne devront pas créer de barrières inutiles au commerce". Par ailleurs, les précédents en la matière ne sont pas rassurants : le traité de libre-échange actuellement négocié entre le Canada et l'UE, appelé CETA</w:t>
      </w:r>
      <w:r w:rsidRPr="00F74EE3">
        <w:rPr>
          <w:rStyle w:val="FootnoteReference"/>
          <w:rFonts w:ascii="Book Antiqua" w:eastAsia="Times New Roman" w:hAnsi="Book Antiqua" w:cs="Helvetica"/>
          <w:color w:val="333333"/>
          <w:sz w:val="24"/>
          <w:szCs w:val="18"/>
          <w:lang w:eastAsia="fr-FR"/>
        </w:rPr>
        <w:footnoteReference w:id="6"/>
      </w:r>
      <w:r w:rsidRPr="00F74EE3">
        <w:rPr>
          <w:rFonts w:ascii="Book Antiqua" w:eastAsia="Times New Roman" w:hAnsi="Book Antiqua" w:cs="Helvetica"/>
          <w:color w:val="333333"/>
          <w:sz w:val="24"/>
          <w:szCs w:val="18"/>
          <w:lang w:eastAsia="fr-FR"/>
        </w:rPr>
        <w:t xml:space="preserve"> et véritable cheval de Troie du TTIP, ne fait qu'une seule mention, insignifiante et non obligatoire, au "bien-être animal".</w:t>
      </w:r>
    </w:p>
    <w:p w:rsidR="00F74EE3" w:rsidRDefault="00F74EE3" w:rsidP="00F74EE3">
      <w:pPr>
        <w:spacing w:after="0" w:line="240" w:lineRule="auto"/>
        <w:rPr>
          <w:rFonts w:ascii="Book Antiqua" w:eastAsia="Times New Roman" w:hAnsi="Book Antiqua" w:cs="Helvetica"/>
          <w:color w:val="333333"/>
          <w:sz w:val="24"/>
          <w:szCs w:val="18"/>
          <w:lang w:eastAsia="fr-FR"/>
        </w:rPr>
      </w:pPr>
    </w:p>
    <w:p w:rsidR="00F74EE3" w:rsidRPr="00F74EE3" w:rsidRDefault="00F74EE3" w:rsidP="00F74EE3">
      <w:pPr>
        <w:spacing w:after="0" w:line="240" w:lineRule="auto"/>
        <w:rPr>
          <w:rFonts w:ascii="Book Antiqua" w:eastAsia="Times New Roman" w:hAnsi="Book Antiqua" w:cs="Helvetica"/>
          <w:color w:val="333333"/>
          <w:sz w:val="24"/>
          <w:szCs w:val="18"/>
          <w:lang w:eastAsia="fr-FR"/>
        </w:rPr>
      </w:pPr>
      <w:r w:rsidRPr="00F74EE3">
        <w:rPr>
          <w:rFonts w:ascii="Book Antiqua" w:eastAsia="Times New Roman" w:hAnsi="Book Antiqua" w:cs="Helvetica"/>
          <w:color w:val="333333"/>
          <w:sz w:val="24"/>
          <w:szCs w:val="18"/>
          <w:lang w:eastAsia="fr-FR"/>
        </w:rPr>
        <w:t>En cas d'approbation du TTIP sans convergence, nous risquons d'assister en matière de protection animale à un véritable dumping, avec des multinationales tentant de baisser leurs coûts par le déménagement de leur production vers les lieux les moins contraignants. Les différences de législations entre les deux rives de l'Atlantique placeront de plus les fermiers européens dans une situation économique difficile. Nous avons bien connu cela avec l'importation d'oeufs du Brésil.</w:t>
      </w:r>
    </w:p>
    <w:p w:rsidR="00B73D27" w:rsidRDefault="00B73D27" w:rsidP="00F74EE3">
      <w:pPr>
        <w:spacing w:after="0" w:line="240" w:lineRule="auto"/>
        <w:rPr>
          <w:rFonts w:ascii="Book Antiqua" w:eastAsia="Times New Roman" w:hAnsi="Book Antiqua" w:cs="Helvetica"/>
          <w:color w:val="333333"/>
          <w:sz w:val="24"/>
          <w:szCs w:val="18"/>
          <w:lang w:eastAsia="fr-FR"/>
        </w:rPr>
      </w:pPr>
    </w:p>
    <w:p w:rsidR="00F74EE3" w:rsidRPr="00F74EE3" w:rsidRDefault="00F74EE3" w:rsidP="00F74EE3">
      <w:pPr>
        <w:spacing w:after="0" w:line="240" w:lineRule="auto"/>
        <w:rPr>
          <w:rFonts w:ascii="Book Antiqua" w:eastAsia="Times New Roman" w:hAnsi="Book Antiqua" w:cs="Helvetica"/>
          <w:color w:val="333333"/>
          <w:sz w:val="24"/>
          <w:szCs w:val="18"/>
          <w:lang w:eastAsia="fr-FR"/>
        </w:rPr>
      </w:pPr>
      <w:r w:rsidRPr="00F74EE3">
        <w:rPr>
          <w:rFonts w:ascii="Book Antiqua" w:eastAsia="Times New Roman" w:hAnsi="Book Antiqua" w:cs="Helvetica"/>
          <w:color w:val="333333"/>
          <w:sz w:val="24"/>
          <w:szCs w:val="18"/>
          <w:lang w:eastAsia="fr-FR"/>
        </w:rPr>
        <w:t>L'objectif de ce traité est limpide</w:t>
      </w:r>
      <w:r w:rsidR="00B73D27">
        <w:rPr>
          <w:rFonts w:ascii="Book Antiqua" w:eastAsia="Times New Roman" w:hAnsi="Book Antiqua" w:cs="Helvetica"/>
          <w:color w:val="333333"/>
          <w:sz w:val="24"/>
          <w:szCs w:val="18"/>
          <w:lang w:eastAsia="fr-FR"/>
        </w:rPr>
        <w:t xml:space="preserve"> </w:t>
      </w:r>
      <w:r w:rsidRPr="00F74EE3">
        <w:rPr>
          <w:rFonts w:ascii="Book Antiqua" w:eastAsia="Times New Roman" w:hAnsi="Book Antiqua" w:cs="Helvetica"/>
          <w:color w:val="333333"/>
          <w:sz w:val="24"/>
          <w:szCs w:val="18"/>
          <w:lang w:eastAsia="fr-FR"/>
        </w:rPr>
        <w:t>: augmenter le commerce et les investissements entre l'UE et les États-Unis, grâce notamment à la baisse du coût de production des produits d'élevage (principalement viande, œufs et lait). Une réalité clairement insoutenable tant d'un point de vue éthique que vis-à-vis de la qualité des produits et des dégâts causés sur l'environnement. Mieux vaudrait privilégier la réduction de notre consommation de produits animaux pour en privilégier la qualité, tant pour notre santé que pour lutter contre le dérèglement climatique et pour améliorer la condition animale, plutôt que de continuer dans cette course au toujours plus, mortifère pour l'homme, son environnement et l'ensemble des autres espèces.</w:t>
      </w:r>
    </w:p>
    <w:p w:rsidR="00B73D27" w:rsidRDefault="00B73D27" w:rsidP="00F74EE3">
      <w:pPr>
        <w:spacing w:after="0" w:line="240" w:lineRule="auto"/>
        <w:rPr>
          <w:rFonts w:ascii="Book Antiqua" w:eastAsia="Times New Roman" w:hAnsi="Book Antiqua" w:cs="Helvetica"/>
          <w:color w:val="333333"/>
          <w:sz w:val="24"/>
          <w:szCs w:val="18"/>
          <w:lang w:eastAsia="fr-FR"/>
        </w:rPr>
      </w:pPr>
    </w:p>
    <w:p w:rsidR="00F74EE3" w:rsidRPr="00F74EE3" w:rsidRDefault="00F74EE3" w:rsidP="00F74EE3">
      <w:pPr>
        <w:spacing w:after="0" w:line="240" w:lineRule="auto"/>
        <w:rPr>
          <w:rFonts w:ascii="Book Antiqua" w:eastAsia="Times New Roman" w:hAnsi="Book Antiqua" w:cs="Helvetica"/>
          <w:color w:val="333333"/>
          <w:sz w:val="24"/>
          <w:szCs w:val="18"/>
          <w:lang w:eastAsia="fr-FR"/>
        </w:rPr>
      </w:pPr>
      <w:r w:rsidRPr="00F74EE3">
        <w:rPr>
          <w:rFonts w:ascii="Book Antiqua" w:eastAsia="Times New Roman" w:hAnsi="Book Antiqua" w:cs="Helvetica"/>
          <w:color w:val="333333"/>
          <w:sz w:val="24"/>
          <w:szCs w:val="18"/>
          <w:lang w:eastAsia="fr-FR"/>
        </w:rPr>
        <w:t>Aujourd'hui, les conditions d'élevage dans tous les ateliers industriels hors sols sont déplorables, que ce soit aux États-Unis où dans certaines régions européennes comme la Breta</w:t>
      </w:r>
      <w:r w:rsidR="009A5F6D">
        <w:rPr>
          <w:rFonts w:ascii="Book Antiqua" w:eastAsia="Times New Roman" w:hAnsi="Book Antiqua" w:cs="Helvetica"/>
          <w:color w:val="333333"/>
          <w:sz w:val="24"/>
          <w:szCs w:val="18"/>
          <w:lang w:eastAsia="fr-FR"/>
        </w:rPr>
        <w:t>gne, la Catalogne ou encore le N</w:t>
      </w:r>
      <w:r w:rsidRPr="00F74EE3">
        <w:rPr>
          <w:rFonts w:ascii="Book Antiqua" w:eastAsia="Times New Roman" w:hAnsi="Book Antiqua" w:cs="Helvetica"/>
          <w:color w:val="333333"/>
          <w:sz w:val="24"/>
          <w:szCs w:val="18"/>
          <w:lang w:eastAsia="fr-FR"/>
        </w:rPr>
        <w:t>ord de l'Allemagne. Elles offrent aux agriculteurs s'étant pliés à ce modèle des avantages économiques tandis que les éleveurs qui respectent leurs animaux (élevage en plein air d</w:t>
      </w:r>
      <w:r w:rsidR="005853EB">
        <w:rPr>
          <w:rFonts w:ascii="Book Antiqua" w:eastAsia="Times New Roman" w:hAnsi="Book Antiqua" w:cs="Helvetica"/>
          <w:color w:val="333333"/>
          <w:sz w:val="24"/>
          <w:szCs w:val="18"/>
          <w:lang w:eastAsia="fr-FR"/>
        </w:rPr>
        <w:t>e poules, vaches, cochons, etc.</w:t>
      </w:r>
      <w:r w:rsidRPr="00F74EE3">
        <w:rPr>
          <w:rFonts w:ascii="Book Antiqua" w:eastAsia="Times New Roman" w:hAnsi="Book Antiqua" w:cs="Helvetica"/>
          <w:color w:val="333333"/>
          <w:sz w:val="24"/>
          <w:szCs w:val="18"/>
          <w:lang w:eastAsia="fr-FR"/>
        </w:rPr>
        <w:t xml:space="preserve">), notamment dans les zones de montagne, sont étouffés par cette concurrence déloyale qui tirent les prix toujours vers le bas. Les fermes usines </w:t>
      </w:r>
      <w:r w:rsidRPr="00F74EE3">
        <w:rPr>
          <w:rFonts w:ascii="Book Antiqua" w:eastAsia="Times New Roman" w:hAnsi="Book Antiqua" w:cs="Helvetica"/>
          <w:color w:val="333333"/>
          <w:sz w:val="24"/>
          <w:szCs w:val="18"/>
          <w:lang w:eastAsia="fr-FR"/>
        </w:rPr>
        <w:lastRenderedPageBreak/>
        <w:t xml:space="preserve">transforment les paysans en ouvriers précaires et les animaux en </w:t>
      </w:r>
      <w:bookmarkStart w:id="0" w:name="_GoBack"/>
      <w:r w:rsidRPr="00F74EE3">
        <w:rPr>
          <w:rFonts w:ascii="Book Antiqua" w:eastAsia="Times New Roman" w:hAnsi="Book Antiqua" w:cs="Helvetica"/>
          <w:color w:val="333333"/>
          <w:sz w:val="24"/>
          <w:szCs w:val="18"/>
          <w:lang w:eastAsia="fr-FR"/>
        </w:rPr>
        <w:t>machines</w:t>
      </w:r>
      <w:bookmarkEnd w:id="0"/>
      <w:r w:rsidRPr="00F74EE3">
        <w:rPr>
          <w:rFonts w:ascii="Book Antiqua" w:eastAsia="Times New Roman" w:hAnsi="Book Antiqua" w:cs="Helvetica"/>
          <w:color w:val="333333"/>
          <w:sz w:val="24"/>
          <w:szCs w:val="18"/>
          <w:lang w:eastAsia="fr-FR"/>
        </w:rPr>
        <w:t>, au seul bénéfice des financiers et de quelques industriels qui sont en train de mettre la main sur l'agriculture et l'alimentation. Ce modèle d'ores et déjà insoutenable risque bien d'être renforcé avec l'entrée en vigueur du Traité transatlantique.</w:t>
      </w:r>
    </w:p>
    <w:p w:rsidR="00F74EE3" w:rsidRDefault="00F74EE3" w:rsidP="00F74EE3">
      <w:pPr>
        <w:spacing w:after="0" w:line="240" w:lineRule="auto"/>
        <w:rPr>
          <w:rFonts w:ascii="Book Antiqua" w:eastAsia="Times New Roman" w:hAnsi="Book Antiqua" w:cs="Helvetica"/>
          <w:color w:val="333333"/>
          <w:sz w:val="24"/>
          <w:szCs w:val="18"/>
          <w:lang w:eastAsia="fr-FR"/>
        </w:rPr>
      </w:pPr>
    </w:p>
    <w:p w:rsidR="00F74EE3" w:rsidRPr="00F74EE3" w:rsidRDefault="00F74EE3" w:rsidP="00F74EE3">
      <w:pPr>
        <w:spacing w:after="0" w:line="240" w:lineRule="auto"/>
        <w:rPr>
          <w:rFonts w:ascii="Book Antiqua" w:eastAsia="Times New Roman" w:hAnsi="Book Antiqua" w:cs="Helvetica"/>
          <w:color w:val="333333"/>
          <w:sz w:val="24"/>
          <w:szCs w:val="18"/>
          <w:lang w:eastAsia="fr-FR"/>
        </w:rPr>
      </w:pPr>
      <w:r w:rsidRPr="00F74EE3">
        <w:rPr>
          <w:rFonts w:ascii="Book Antiqua" w:eastAsia="Times New Roman" w:hAnsi="Book Antiqua" w:cs="Helvetica"/>
          <w:color w:val="333333"/>
          <w:sz w:val="24"/>
          <w:szCs w:val="18"/>
          <w:lang w:eastAsia="fr-FR"/>
        </w:rPr>
        <w:t>En d'autres termes, le TTIP signifie une vraie progression en Europe de la marchandisation de la vie en générale et de celle des animaux en particulier. Une raison supplémentaire de dire non au Traité transatlantique.</w:t>
      </w:r>
    </w:p>
    <w:p w:rsidR="00E470A3" w:rsidRPr="00C6177E" w:rsidRDefault="00E470A3" w:rsidP="003D03A3">
      <w:pPr>
        <w:rPr>
          <w:rFonts w:ascii="Book Antiqua" w:hAnsi="Book Antiqua"/>
          <w:sz w:val="24"/>
        </w:rPr>
      </w:pPr>
    </w:p>
    <w:sectPr w:rsidR="00E470A3" w:rsidRPr="00C6177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63ED" w:rsidRDefault="00BC63ED" w:rsidP="003D03A3">
      <w:pPr>
        <w:spacing w:after="0" w:line="240" w:lineRule="auto"/>
      </w:pPr>
      <w:r>
        <w:separator/>
      </w:r>
    </w:p>
  </w:endnote>
  <w:endnote w:type="continuationSeparator" w:id="0">
    <w:p w:rsidR="00BC63ED" w:rsidRDefault="00BC63ED" w:rsidP="003D03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Open Sans">
    <w:altName w:val="Times New Roman"/>
    <w:charset w:val="00"/>
    <w:family w:val="swiss"/>
    <w:pitch w:val="variable"/>
    <w:sig w:usb0="E00002EF" w:usb1="4000205B" w:usb2="00000028" w:usb3="00000000" w:csb0="0000019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63ED" w:rsidRDefault="00BC63ED" w:rsidP="003D03A3">
      <w:pPr>
        <w:spacing w:after="0" w:line="240" w:lineRule="auto"/>
      </w:pPr>
      <w:r>
        <w:separator/>
      </w:r>
    </w:p>
  </w:footnote>
  <w:footnote w:type="continuationSeparator" w:id="0">
    <w:p w:rsidR="00BC63ED" w:rsidRDefault="00BC63ED" w:rsidP="003D03A3">
      <w:pPr>
        <w:spacing w:after="0" w:line="240" w:lineRule="auto"/>
      </w:pPr>
      <w:r>
        <w:continuationSeparator/>
      </w:r>
    </w:p>
  </w:footnote>
  <w:footnote w:id="1">
    <w:p w:rsidR="003D03A3" w:rsidRDefault="003D03A3" w:rsidP="003D03A3">
      <w:pPr>
        <w:pStyle w:val="Default"/>
        <w:rPr>
          <w:sz w:val="18"/>
          <w:szCs w:val="18"/>
        </w:rPr>
      </w:pPr>
      <w:r>
        <w:rPr>
          <w:rStyle w:val="FootnoteReference"/>
        </w:rPr>
        <w:footnoteRef/>
      </w:r>
      <w:r>
        <w:t xml:space="preserve"> </w:t>
      </w:r>
      <w:r>
        <w:rPr>
          <w:sz w:val="18"/>
          <w:szCs w:val="18"/>
        </w:rPr>
        <w:t xml:space="preserve">Centre for Food Safety, GRAIN, IATP. How TTIP undermines food safety and animal welfare. Février 2015 </w:t>
      </w:r>
    </w:p>
    <w:p w:rsidR="003D03A3" w:rsidRDefault="003D03A3">
      <w:pPr>
        <w:pStyle w:val="FootnoteText"/>
      </w:pPr>
    </w:p>
  </w:footnote>
  <w:footnote w:id="2">
    <w:p w:rsidR="003D03A3" w:rsidRDefault="003D03A3" w:rsidP="003D03A3">
      <w:pPr>
        <w:pStyle w:val="Default"/>
        <w:rPr>
          <w:sz w:val="18"/>
          <w:szCs w:val="18"/>
        </w:rPr>
      </w:pPr>
      <w:r>
        <w:rPr>
          <w:rStyle w:val="FootnoteReference"/>
        </w:rPr>
        <w:footnoteRef/>
      </w:r>
      <w:r>
        <w:t xml:space="preserve"> </w:t>
      </w:r>
      <w:r>
        <w:rPr>
          <w:sz w:val="18"/>
          <w:szCs w:val="18"/>
        </w:rPr>
        <w:t xml:space="preserve">Food and Water Watch Europe. TTIP and Genetically Engineered Foods. Avril 2015. </w:t>
      </w:r>
    </w:p>
    <w:p w:rsidR="003D03A3" w:rsidRDefault="003D03A3">
      <w:pPr>
        <w:pStyle w:val="FootnoteText"/>
      </w:pPr>
    </w:p>
  </w:footnote>
  <w:footnote w:id="3">
    <w:p w:rsidR="00AA0720" w:rsidRDefault="00AA0720" w:rsidP="00AA0720">
      <w:pPr>
        <w:pStyle w:val="FootnoteText"/>
      </w:pPr>
      <w:r>
        <w:rPr>
          <w:rStyle w:val="FootnoteReference"/>
        </w:rPr>
        <w:footnoteRef/>
      </w:r>
      <w:r>
        <w:t xml:space="preserve"> Raoul Marc Jennar. 13 mars 2014, Le Grand Marché Transatlantique (TAFTA) et les municipalités. </w:t>
      </w:r>
      <w:hyperlink r:id="rId1" w:history="1">
        <w:r w:rsidRPr="002E036F">
          <w:rPr>
            <w:rStyle w:val="Hyperlink"/>
          </w:rPr>
          <w:t>https://stoptafta.wordpress.com/</w:t>
        </w:r>
      </w:hyperlink>
    </w:p>
    <w:p w:rsidR="000A23A1" w:rsidRDefault="000A23A1" w:rsidP="00AA0720">
      <w:pPr>
        <w:pStyle w:val="FootnoteText"/>
      </w:pPr>
      <w:r>
        <w:t>TAFTA (Transatlantic free Trade Agreement) est l’autre nom donné au GMT (Grand Marché Transatlantique) ou TTIP (Transatlantic Trade and Investment Partnership)</w:t>
      </w:r>
    </w:p>
    <w:p w:rsidR="00AA0720" w:rsidRDefault="00AA0720" w:rsidP="00AA0720">
      <w:pPr>
        <w:pStyle w:val="FootnoteText"/>
      </w:pPr>
    </w:p>
  </w:footnote>
  <w:footnote w:id="4">
    <w:p w:rsidR="003B1E48" w:rsidRDefault="003B1E48">
      <w:pPr>
        <w:pStyle w:val="FootnoteText"/>
      </w:pPr>
      <w:r>
        <w:rPr>
          <w:rStyle w:val="FootnoteReference"/>
        </w:rPr>
        <w:footnoteRef/>
      </w:r>
      <w:r>
        <w:t xml:space="preserve"> Amélie Canonne, Johan Tyszler. Ces Européens qui défient le libre-échange. Le monde Diplomatique, Octobre 2015.</w:t>
      </w:r>
    </w:p>
  </w:footnote>
  <w:footnote w:id="5">
    <w:p w:rsidR="001C1FA0" w:rsidRDefault="001C1FA0" w:rsidP="001C1FA0">
      <w:pPr>
        <w:pStyle w:val="NormalWeb"/>
        <w:rPr>
          <w:rStyle w:val="Emphasis"/>
          <w:rFonts w:ascii="Open Sans" w:hAnsi="Open Sans" w:cs="Helvetica"/>
          <w:color w:val="333333"/>
          <w:sz w:val="18"/>
          <w:szCs w:val="18"/>
        </w:rPr>
      </w:pPr>
      <w:r>
        <w:rPr>
          <w:rStyle w:val="FootnoteReference"/>
        </w:rPr>
        <w:footnoteRef/>
      </w:r>
      <w:r>
        <w:t xml:space="preserve"> Selon u</w:t>
      </w:r>
      <w:r>
        <w:rPr>
          <w:rStyle w:val="Emphasis"/>
          <w:rFonts w:ascii="Open Sans" w:hAnsi="Open Sans" w:cs="Helvetica"/>
          <w:color w:val="333333"/>
          <w:sz w:val="18"/>
          <w:szCs w:val="18"/>
        </w:rPr>
        <w:t>ne tribune signée par les eurodéputés José Bové, Karima Delli, Pascal Durand, Yannick Jadot, Eva Joly et Michèle Rivasi (Europe Écologie les Verts) et Florent Marcellesi, porte-parole d'EQUO (Verts Espagnols) au Parlement Européen et Lluvia Rojo, membre d'EQUO.</w:t>
      </w:r>
    </w:p>
    <w:p w:rsidR="001C1FA0" w:rsidRDefault="001C1FA0" w:rsidP="001C1FA0">
      <w:pPr>
        <w:pStyle w:val="NormalWeb"/>
        <w:rPr>
          <w:rFonts w:ascii="Open Sans" w:hAnsi="Open Sans" w:cs="Helvetica"/>
          <w:color w:val="333333"/>
          <w:sz w:val="18"/>
          <w:szCs w:val="18"/>
        </w:rPr>
      </w:pPr>
      <w:r>
        <w:rPr>
          <w:rFonts w:ascii="Open Sans" w:hAnsi="Open Sans" w:cs="Helvetica"/>
          <w:color w:val="333333"/>
          <w:sz w:val="18"/>
          <w:szCs w:val="18"/>
        </w:rPr>
        <w:t xml:space="preserve">Tribune est parue sur </w:t>
      </w:r>
      <w:hyperlink r:id="rId2" w:history="1">
        <w:r>
          <w:rPr>
            <w:rStyle w:val="Emphasis"/>
            <w:rFonts w:ascii="Open Sans" w:hAnsi="Open Sans" w:cs="Helvetica"/>
            <w:color w:val="337AB7"/>
            <w:sz w:val="18"/>
            <w:szCs w:val="18"/>
          </w:rPr>
          <w:t>Huffington Post</w:t>
        </w:r>
      </w:hyperlink>
      <w:r>
        <w:rPr>
          <w:rFonts w:ascii="Open Sans" w:hAnsi="Open Sans" w:cs="Helvetica"/>
          <w:color w:val="333333"/>
          <w:sz w:val="18"/>
          <w:szCs w:val="18"/>
        </w:rPr>
        <w:t xml:space="preserve"> le 1</w:t>
      </w:r>
      <w:r w:rsidRPr="00FB1F63">
        <w:rPr>
          <w:rFonts w:ascii="Open Sans" w:hAnsi="Open Sans" w:cs="Helvetica"/>
          <w:color w:val="333333"/>
          <w:sz w:val="18"/>
          <w:szCs w:val="18"/>
          <w:vertAlign w:val="superscript"/>
        </w:rPr>
        <w:t>er</w:t>
      </w:r>
      <w:r>
        <w:rPr>
          <w:rFonts w:ascii="Open Sans" w:hAnsi="Open Sans" w:cs="Helvetica"/>
          <w:color w:val="333333"/>
          <w:sz w:val="18"/>
          <w:szCs w:val="18"/>
        </w:rPr>
        <w:t xml:space="preserve"> avril 2015 et mise à jour le 1</w:t>
      </w:r>
      <w:r w:rsidRPr="00FB1F63">
        <w:rPr>
          <w:rFonts w:ascii="Open Sans" w:hAnsi="Open Sans" w:cs="Helvetica"/>
          <w:color w:val="333333"/>
          <w:sz w:val="18"/>
          <w:szCs w:val="18"/>
          <w:vertAlign w:val="superscript"/>
        </w:rPr>
        <w:t>er</w:t>
      </w:r>
      <w:r>
        <w:rPr>
          <w:rFonts w:ascii="Open Sans" w:hAnsi="Open Sans" w:cs="Helvetica"/>
          <w:color w:val="333333"/>
          <w:sz w:val="18"/>
          <w:szCs w:val="18"/>
        </w:rPr>
        <w:t xml:space="preserve"> juin 2015</w:t>
      </w:r>
    </w:p>
    <w:p w:rsidR="001C1FA0" w:rsidRDefault="001C1FA0" w:rsidP="001C1FA0">
      <w:pPr>
        <w:pStyle w:val="FootnoteText"/>
      </w:pPr>
    </w:p>
  </w:footnote>
  <w:footnote w:id="6">
    <w:p w:rsidR="00F74EE3" w:rsidRDefault="00F74EE3">
      <w:pPr>
        <w:pStyle w:val="FootnoteText"/>
      </w:pPr>
      <w:r>
        <w:rPr>
          <w:rStyle w:val="FootnoteReference"/>
        </w:rPr>
        <w:footnoteRef/>
      </w:r>
      <w:r>
        <w:t xml:space="preserve"> AECG</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32B17A6"/>
    <w:multiLevelType w:val="hybridMultilevel"/>
    <w:tmpl w:val="880CBF3E"/>
    <w:lvl w:ilvl="0" w:tplc="D50258EA">
      <w:numFmt w:val="bullet"/>
      <w:lvlText w:val="-"/>
      <w:lvlJc w:val="left"/>
      <w:pPr>
        <w:ind w:left="720" w:hanging="360"/>
      </w:pPr>
      <w:rPr>
        <w:rFonts w:ascii="Book Antiqua" w:eastAsiaTheme="minorHAnsi" w:hAnsi="Book Antiqu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177E"/>
    <w:rsid w:val="00017AD0"/>
    <w:rsid w:val="000603F0"/>
    <w:rsid w:val="00065BB5"/>
    <w:rsid w:val="000A23A1"/>
    <w:rsid w:val="000B1B9E"/>
    <w:rsid w:val="001945F1"/>
    <w:rsid w:val="001C1FA0"/>
    <w:rsid w:val="001E4711"/>
    <w:rsid w:val="002C1434"/>
    <w:rsid w:val="003B1E48"/>
    <w:rsid w:val="003D03A3"/>
    <w:rsid w:val="003F17AA"/>
    <w:rsid w:val="0046589F"/>
    <w:rsid w:val="005853EB"/>
    <w:rsid w:val="00691198"/>
    <w:rsid w:val="00734DB0"/>
    <w:rsid w:val="007358EB"/>
    <w:rsid w:val="007D2562"/>
    <w:rsid w:val="008754E5"/>
    <w:rsid w:val="0093325B"/>
    <w:rsid w:val="009731B5"/>
    <w:rsid w:val="009A5F6D"/>
    <w:rsid w:val="00A7539A"/>
    <w:rsid w:val="00AA0720"/>
    <w:rsid w:val="00AF6072"/>
    <w:rsid w:val="00B73D27"/>
    <w:rsid w:val="00BC63ED"/>
    <w:rsid w:val="00C6177E"/>
    <w:rsid w:val="00C702E6"/>
    <w:rsid w:val="00C87391"/>
    <w:rsid w:val="00CD1BB2"/>
    <w:rsid w:val="00DA170E"/>
    <w:rsid w:val="00DD5600"/>
    <w:rsid w:val="00E36A4A"/>
    <w:rsid w:val="00E42701"/>
    <w:rsid w:val="00E470A3"/>
    <w:rsid w:val="00E51ED6"/>
    <w:rsid w:val="00E70B47"/>
    <w:rsid w:val="00E8533A"/>
    <w:rsid w:val="00EE4D41"/>
    <w:rsid w:val="00F27022"/>
    <w:rsid w:val="00F74209"/>
    <w:rsid w:val="00F74EE3"/>
    <w:rsid w:val="00F923D3"/>
    <w:rsid w:val="00FD0A4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F4E0481-2046-4DFE-91A4-7F22F3753B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C6177E"/>
    <w:rPr>
      <w:i/>
      <w:iCs/>
    </w:rPr>
  </w:style>
  <w:style w:type="character" w:styleId="Strong">
    <w:name w:val="Strong"/>
    <w:basedOn w:val="DefaultParagraphFont"/>
    <w:uiPriority w:val="22"/>
    <w:qFormat/>
    <w:rsid w:val="00E42701"/>
    <w:rPr>
      <w:b/>
      <w:bCs/>
    </w:rPr>
  </w:style>
  <w:style w:type="character" w:customStyle="1" w:styleId="update-date">
    <w:name w:val="update-date"/>
    <w:basedOn w:val="DefaultParagraphFont"/>
    <w:rsid w:val="00E42701"/>
  </w:style>
  <w:style w:type="paragraph" w:customStyle="1" w:styleId="tx">
    <w:name w:val="tx"/>
    <w:basedOn w:val="Normal"/>
    <w:rsid w:val="00A7539A"/>
    <w:pPr>
      <w:spacing w:before="360" w:after="360" w:line="240" w:lineRule="auto"/>
    </w:pPr>
    <w:rPr>
      <w:rFonts w:ascii="Times New Roman" w:eastAsia="Times New Roman" w:hAnsi="Times New Roman" w:cs="Times New Roman"/>
      <w:sz w:val="24"/>
      <w:szCs w:val="24"/>
      <w:lang w:eastAsia="fr-FR"/>
    </w:rPr>
  </w:style>
  <w:style w:type="paragraph" w:customStyle="1" w:styleId="Pa4">
    <w:name w:val="Pa4"/>
    <w:basedOn w:val="Normal"/>
    <w:next w:val="Normal"/>
    <w:uiPriority w:val="99"/>
    <w:rsid w:val="00C87391"/>
    <w:pPr>
      <w:autoSpaceDE w:val="0"/>
      <w:autoSpaceDN w:val="0"/>
      <w:adjustRightInd w:val="0"/>
      <w:spacing w:after="0" w:line="211" w:lineRule="atLeast"/>
    </w:pPr>
    <w:rPr>
      <w:rFonts w:ascii="Cambria" w:hAnsi="Cambria"/>
      <w:sz w:val="24"/>
      <w:szCs w:val="24"/>
    </w:rPr>
  </w:style>
  <w:style w:type="paragraph" w:customStyle="1" w:styleId="Default">
    <w:name w:val="Default"/>
    <w:rsid w:val="00C87391"/>
    <w:pPr>
      <w:autoSpaceDE w:val="0"/>
      <w:autoSpaceDN w:val="0"/>
      <w:adjustRightInd w:val="0"/>
      <w:spacing w:after="0" w:line="240" w:lineRule="auto"/>
    </w:pPr>
    <w:rPr>
      <w:rFonts w:ascii="Cambria" w:hAnsi="Cambria" w:cs="Cambria"/>
      <w:color w:val="000000"/>
      <w:sz w:val="24"/>
      <w:szCs w:val="24"/>
    </w:rPr>
  </w:style>
  <w:style w:type="paragraph" w:customStyle="1" w:styleId="Pa3">
    <w:name w:val="Pa3"/>
    <w:basedOn w:val="Default"/>
    <w:next w:val="Default"/>
    <w:uiPriority w:val="99"/>
    <w:rsid w:val="002C1434"/>
    <w:pPr>
      <w:spacing w:line="281" w:lineRule="atLeast"/>
    </w:pPr>
    <w:rPr>
      <w:rFonts w:cstheme="minorBidi"/>
      <w:color w:val="auto"/>
    </w:rPr>
  </w:style>
  <w:style w:type="character" w:customStyle="1" w:styleId="A6">
    <w:name w:val="A6"/>
    <w:uiPriority w:val="99"/>
    <w:rsid w:val="002C1434"/>
    <w:rPr>
      <w:rFonts w:cs="Cambria"/>
      <w:color w:val="000000"/>
      <w:sz w:val="12"/>
      <w:szCs w:val="12"/>
    </w:rPr>
  </w:style>
  <w:style w:type="paragraph" w:styleId="FootnoteText">
    <w:name w:val="footnote text"/>
    <w:basedOn w:val="Normal"/>
    <w:link w:val="FootnoteTextChar"/>
    <w:uiPriority w:val="99"/>
    <w:semiHidden/>
    <w:unhideWhenUsed/>
    <w:rsid w:val="003D03A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D03A3"/>
    <w:rPr>
      <w:sz w:val="20"/>
      <w:szCs w:val="20"/>
    </w:rPr>
  </w:style>
  <w:style w:type="character" w:styleId="FootnoteReference">
    <w:name w:val="footnote reference"/>
    <w:basedOn w:val="DefaultParagraphFont"/>
    <w:uiPriority w:val="99"/>
    <w:semiHidden/>
    <w:unhideWhenUsed/>
    <w:rsid w:val="003D03A3"/>
    <w:rPr>
      <w:vertAlign w:val="superscript"/>
    </w:rPr>
  </w:style>
  <w:style w:type="paragraph" w:styleId="NormalWeb">
    <w:name w:val="Normal (Web)"/>
    <w:basedOn w:val="Normal"/>
    <w:uiPriority w:val="99"/>
    <w:semiHidden/>
    <w:unhideWhenUsed/>
    <w:rsid w:val="00FD0A4E"/>
    <w:pPr>
      <w:spacing w:after="125" w:line="240" w:lineRule="auto"/>
    </w:pPr>
    <w:rPr>
      <w:rFonts w:ascii="Times New Roman" w:eastAsia="Times New Roman" w:hAnsi="Times New Roman" w:cs="Times New Roman"/>
      <w:sz w:val="24"/>
      <w:szCs w:val="24"/>
      <w:lang w:eastAsia="fr-FR"/>
    </w:rPr>
  </w:style>
  <w:style w:type="paragraph" w:styleId="ListParagraph">
    <w:name w:val="List Paragraph"/>
    <w:basedOn w:val="Normal"/>
    <w:uiPriority w:val="34"/>
    <w:qFormat/>
    <w:rsid w:val="00E36A4A"/>
    <w:pPr>
      <w:ind w:left="720"/>
      <w:contextualSpacing/>
    </w:pPr>
  </w:style>
  <w:style w:type="character" w:styleId="Hyperlink">
    <w:name w:val="Hyperlink"/>
    <w:basedOn w:val="DefaultParagraphFont"/>
    <w:uiPriority w:val="99"/>
    <w:unhideWhenUsed/>
    <w:rsid w:val="00AA072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5623216">
      <w:bodyDiv w:val="1"/>
      <w:marLeft w:val="0"/>
      <w:marRight w:val="0"/>
      <w:marTop w:val="0"/>
      <w:marBottom w:val="0"/>
      <w:divBdr>
        <w:top w:val="none" w:sz="0" w:space="0" w:color="auto"/>
        <w:left w:val="none" w:sz="0" w:space="0" w:color="auto"/>
        <w:bottom w:val="none" w:sz="0" w:space="0" w:color="auto"/>
        <w:right w:val="none" w:sz="0" w:space="0" w:color="auto"/>
      </w:divBdr>
      <w:divsChild>
        <w:div w:id="1924485615">
          <w:marLeft w:val="0"/>
          <w:marRight w:val="0"/>
          <w:marTop w:val="0"/>
          <w:marBottom w:val="0"/>
          <w:divBdr>
            <w:top w:val="none" w:sz="0" w:space="0" w:color="auto"/>
            <w:left w:val="none" w:sz="0" w:space="0" w:color="auto"/>
            <w:bottom w:val="none" w:sz="0" w:space="0" w:color="auto"/>
            <w:right w:val="none" w:sz="0" w:space="0" w:color="auto"/>
          </w:divBdr>
          <w:divsChild>
            <w:div w:id="842356718">
              <w:marLeft w:val="0"/>
              <w:marRight w:val="0"/>
              <w:marTop w:val="0"/>
              <w:marBottom w:val="0"/>
              <w:divBdr>
                <w:top w:val="none" w:sz="0" w:space="0" w:color="auto"/>
                <w:left w:val="none" w:sz="0" w:space="0" w:color="auto"/>
                <w:bottom w:val="none" w:sz="0" w:space="0" w:color="auto"/>
                <w:right w:val="none" w:sz="0" w:space="0" w:color="auto"/>
              </w:divBdr>
              <w:divsChild>
                <w:div w:id="1273126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huffingtonpost.fr/jose-bove/tafta-agriculture-negociations_b_6983896.html?utm_hp_ref=tw" TargetMode="External"/><Relationship Id="rId1" Type="http://schemas.openxmlformats.org/officeDocument/2006/relationships/hyperlink" Target="https://stoptafta.wordpress.co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DC5DF5-DCD4-4506-A364-4BECD01CC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3749</Words>
  <Characters>21373</Characters>
  <Application>Microsoft Office Word</Application>
  <DocSecurity>0</DocSecurity>
  <Lines>178</Lines>
  <Paragraphs>50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25072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Jacques Loyat</dc:creator>
  <cp:keywords/>
  <dc:description/>
  <cp:lastModifiedBy>Michaela Skodova</cp:lastModifiedBy>
  <cp:revision>2</cp:revision>
  <dcterms:created xsi:type="dcterms:W3CDTF">2016-03-28T19:14:00Z</dcterms:created>
  <dcterms:modified xsi:type="dcterms:W3CDTF">2016-03-28T19:14:00Z</dcterms:modified>
</cp:coreProperties>
</file>