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C45" w:rsidRPr="003E5C45" w:rsidRDefault="003E5C45" w:rsidP="003E5C45">
      <w:pPr>
        <w:spacing w:after="120"/>
        <w:outlineLvl w:val="0"/>
        <w:rPr>
          <w:rFonts w:ascii="Georgia" w:hAnsi="Georgia" w:cs="Arial"/>
          <w:b/>
          <w:color w:val="000000"/>
          <w:kern w:val="36"/>
          <w:sz w:val="36"/>
          <w:szCs w:val="36"/>
          <w:lang w:val="en-US" w:eastAsia="nl-NL"/>
        </w:rPr>
      </w:pPr>
      <w:r w:rsidRPr="003E5C45">
        <w:rPr>
          <w:rFonts w:ascii="Georgia" w:hAnsi="Georgia" w:cs="Arial"/>
          <w:b/>
          <w:color w:val="000000"/>
          <w:kern w:val="36"/>
          <w:sz w:val="36"/>
          <w:szCs w:val="36"/>
          <w:lang w:val="en-US" w:eastAsia="nl-NL"/>
        </w:rPr>
        <w:t>Global Food Prices Continue to Rise</w:t>
      </w:r>
    </w:p>
    <w:tbl>
      <w:tblPr>
        <w:tblW w:w="5000" w:type="pct"/>
        <w:tblCellMar>
          <w:top w:w="15" w:type="dxa"/>
          <w:left w:w="15" w:type="dxa"/>
          <w:bottom w:w="15" w:type="dxa"/>
          <w:right w:w="15" w:type="dxa"/>
        </w:tblCellMar>
        <w:tblLook w:val="04A0" w:firstRow="1" w:lastRow="0" w:firstColumn="1" w:lastColumn="0" w:noHBand="0" w:noVBand="1"/>
      </w:tblPr>
      <w:tblGrid>
        <w:gridCol w:w="8680"/>
        <w:gridCol w:w="96"/>
        <w:gridCol w:w="96"/>
        <w:gridCol w:w="96"/>
        <w:gridCol w:w="96"/>
        <w:gridCol w:w="96"/>
      </w:tblGrid>
      <w:tr w:rsidR="003E5C45" w:rsidRPr="003E5C45" w:rsidTr="003E5C45">
        <w:tc>
          <w:tcPr>
            <w:tcW w:w="8680" w:type="dxa"/>
            <w:tcMar>
              <w:top w:w="45" w:type="dxa"/>
              <w:left w:w="45" w:type="dxa"/>
              <w:bottom w:w="45" w:type="dxa"/>
              <w:right w:w="45" w:type="dxa"/>
            </w:tcMar>
            <w:hideMark/>
          </w:tcPr>
          <w:p w:rsidR="003E5C45" w:rsidRPr="003E5C45" w:rsidRDefault="003E5C45" w:rsidP="003E5C45">
            <w:pPr>
              <w:spacing w:line="288" w:lineRule="auto"/>
              <w:rPr>
                <w:rFonts w:ascii="Arial" w:hAnsi="Arial" w:cs="Arial"/>
                <w:color w:val="666666"/>
                <w:sz w:val="20"/>
                <w:szCs w:val="20"/>
                <w:lang w:val="en-US" w:eastAsia="nl-NL"/>
              </w:rPr>
            </w:pPr>
            <w:r w:rsidRPr="003E5C45">
              <w:rPr>
                <w:rFonts w:ascii="Arial" w:hAnsi="Arial" w:cs="Arial"/>
                <w:i/>
                <w:iCs/>
                <w:color w:val="666666"/>
                <w:sz w:val="20"/>
                <w:szCs w:val="20"/>
                <w:lang w:val="en-US" w:eastAsia="nl-NL"/>
              </w:rPr>
              <w:t>As both climate change and population growth continue to increase, there is reason to believe tha</w:t>
            </w:r>
            <w:bookmarkStart w:id="0" w:name="_GoBack"/>
            <w:bookmarkEnd w:id="0"/>
            <w:r w:rsidRPr="003E5C45">
              <w:rPr>
                <w:rFonts w:ascii="Arial" w:hAnsi="Arial" w:cs="Arial"/>
                <w:i/>
                <w:iCs/>
                <w:color w:val="666666"/>
                <w:sz w:val="20"/>
                <w:szCs w:val="20"/>
                <w:lang w:val="en-US" w:eastAsia="nl-NL"/>
              </w:rPr>
              <w:t>t food commodity prices will be both higher and more volatile in the decades to come.</w:t>
            </w:r>
          </w:p>
        </w:tc>
        <w:tc>
          <w:tcPr>
            <w:tcW w:w="0" w:type="auto"/>
            <w:tcMar>
              <w:top w:w="45" w:type="dxa"/>
              <w:left w:w="45" w:type="dxa"/>
              <w:bottom w:w="45" w:type="dxa"/>
              <w:right w:w="45" w:type="dxa"/>
            </w:tcMar>
            <w:vAlign w:val="center"/>
            <w:hideMark/>
          </w:tcPr>
          <w:p w:rsidR="003E5C45" w:rsidRPr="003E5C45" w:rsidRDefault="003E5C45" w:rsidP="003E5C45">
            <w:pPr>
              <w:spacing w:line="288" w:lineRule="auto"/>
              <w:rPr>
                <w:rFonts w:ascii="Arial" w:hAnsi="Arial" w:cs="Arial"/>
                <w:color w:val="666666"/>
                <w:sz w:val="20"/>
                <w:szCs w:val="20"/>
                <w:lang w:val="en-US" w:eastAsia="nl-NL"/>
              </w:rPr>
            </w:pPr>
          </w:p>
        </w:tc>
        <w:tc>
          <w:tcPr>
            <w:tcW w:w="0" w:type="auto"/>
            <w:tcMar>
              <w:top w:w="45" w:type="dxa"/>
              <w:left w:w="45" w:type="dxa"/>
              <w:bottom w:w="45" w:type="dxa"/>
              <w:right w:w="45" w:type="dxa"/>
            </w:tcMar>
            <w:vAlign w:val="center"/>
            <w:hideMark/>
          </w:tcPr>
          <w:p w:rsidR="003E5C45" w:rsidRPr="003E5C45" w:rsidRDefault="003E5C45" w:rsidP="003E5C45">
            <w:pPr>
              <w:spacing w:line="288" w:lineRule="auto"/>
              <w:jc w:val="right"/>
              <w:rPr>
                <w:rFonts w:ascii="Arial" w:hAnsi="Arial" w:cs="Arial"/>
                <w:color w:val="666666"/>
                <w:sz w:val="20"/>
                <w:szCs w:val="20"/>
                <w:lang w:val="en-US" w:eastAsia="nl-NL"/>
              </w:rPr>
            </w:pPr>
          </w:p>
        </w:tc>
        <w:tc>
          <w:tcPr>
            <w:tcW w:w="0" w:type="auto"/>
            <w:tcMar>
              <w:top w:w="45" w:type="dxa"/>
              <w:left w:w="45" w:type="dxa"/>
              <w:bottom w:w="45" w:type="dxa"/>
              <w:right w:w="45" w:type="dxa"/>
            </w:tcMar>
            <w:vAlign w:val="center"/>
            <w:hideMark/>
          </w:tcPr>
          <w:p w:rsidR="003E5C45" w:rsidRPr="003E5C45" w:rsidRDefault="003E5C45" w:rsidP="003E5C45">
            <w:pPr>
              <w:spacing w:line="288" w:lineRule="auto"/>
              <w:jc w:val="right"/>
              <w:rPr>
                <w:rFonts w:ascii="Arial" w:hAnsi="Arial" w:cs="Arial"/>
                <w:color w:val="666666"/>
                <w:sz w:val="20"/>
                <w:szCs w:val="20"/>
                <w:lang w:val="en-US" w:eastAsia="nl-NL"/>
              </w:rPr>
            </w:pPr>
          </w:p>
        </w:tc>
        <w:tc>
          <w:tcPr>
            <w:tcW w:w="0" w:type="auto"/>
            <w:tcMar>
              <w:top w:w="45" w:type="dxa"/>
              <w:left w:w="45" w:type="dxa"/>
              <w:bottom w:w="45" w:type="dxa"/>
              <w:right w:w="45" w:type="dxa"/>
            </w:tcMar>
            <w:vAlign w:val="center"/>
            <w:hideMark/>
          </w:tcPr>
          <w:p w:rsidR="003E5C45" w:rsidRPr="003E5C45" w:rsidRDefault="003E5C45" w:rsidP="003E5C45">
            <w:pPr>
              <w:spacing w:line="288" w:lineRule="auto"/>
              <w:rPr>
                <w:rFonts w:ascii="Arial" w:hAnsi="Arial" w:cs="Arial"/>
                <w:color w:val="666666"/>
                <w:sz w:val="20"/>
                <w:szCs w:val="20"/>
                <w:lang w:eastAsia="nl-NL"/>
              </w:rPr>
            </w:pPr>
          </w:p>
        </w:tc>
        <w:tc>
          <w:tcPr>
            <w:tcW w:w="0" w:type="auto"/>
            <w:tcMar>
              <w:top w:w="45" w:type="dxa"/>
              <w:left w:w="45" w:type="dxa"/>
              <w:bottom w:w="45" w:type="dxa"/>
              <w:right w:w="45" w:type="dxa"/>
            </w:tcMar>
            <w:vAlign w:val="center"/>
            <w:hideMark/>
          </w:tcPr>
          <w:p w:rsidR="003E5C45" w:rsidRPr="003E5C45" w:rsidRDefault="003E5C45" w:rsidP="003E5C45">
            <w:pPr>
              <w:spacing w:line="288" w:lineRule="auto"/>
              <w:rPr>
                <w:rFonts w:ascii="Arial" w:hAnsi="Arial" w:cs="Arial"/>
                <w:color w:val="666666"/>
                <w:sz w:val="20"/>
                <w:szCs w:val="20"/>
                <w:lang w:eastAsia="nl-NL"/>
              </w:rPr>
            </w:pPr>
          </w:p>
        </w:tc>
      </w:tr>
      <w:tr w:rsidR="003E5C45" w:rsidRPr="003E5C45" w:rsidTr="003E5C45">
        <w:tc>
          <w:tcPr>
            <w:tcW w:w="0" w:type="auto"/>
            <w:gridSpan w:val="6"/>
            <w:tcMar>
              <w:top w:w="45" w:type="dxa"/>
              <w:left w:w="45" w:type="dxa"/>
              <w:bottom w:w="45" w:type="dxa"/>
              <w:right w:w="45" w:type="dxa"/>
            </w:tcMar>
            <w:vAlign w:val="center"/>
            <w:hideMark/>
          </w:tcPr>
          <w:p w:rsidR="003E5C45" w:rsidRPr="003E5C45" w:rsidRDefault="003E5C45" w:rsidP="003E5C45">
            <w:pPr>
              <w:spacing w:line="288" w:lineRule="auto"/>
              <w:rPr>
                <w:rFonts w:ascii="Arial" w:hAnsi="Arial" w:cs="Arial"/>
                <w:color w:val="666666"/>
                <w:sz w:val="20"/>
                <w:szCs w:val="20"/>
                <w:lang w:eastAsia="nl-NL"/>
              </w:rPr>
            </w:pPr>
            <w:r w:rsidRPr="003E5C45">
              <w:rPr>
                <w:rFonts w:ascii="Arial" w:hAnsi="Arial" w:cs="Arial"/>
                <w:b/>
                <w:bCs/>
                <w:color w:val="666666"/>
                <w:sz w:val="20"/>
                <w:szCs w:val="20"/>
                <w:lang w:eastAsia="nl-NL"/>
              </w:rPr>
              <w:t>BY SOPHIE WENZLAU</w:t>
            </w:r>
            <w:r w:rsidRPr="003E5C45">
              <w:rPr>
                <w:rFonts w:ascii="Arial" w:hAnsi="Arial" w:cs="Arial"/>
                <w:color w:val="666666"/>
                <w:sz w:val="20"/>
                <w:szCs w:val="20"/>
                <w:lang w:eastAsia="nl-NL"/>
              </w:rPr>
              <w:t xml:space="preserve"> | APRIL 11, 2013 </w:t>
            </w:r>
          </w:p>
        </w:tc>
      </w:tr>
      <w:tr w:rsidR="003E5C45" w:rsidRPr="003E5C45" w:rsidTr="003E5C45">
        <w:tc>
          <w:tcPr>
            <w:tcW w:w="0" w:type="auto"/>
            <w:gridSpan w:val="6"/>
            <w:tcMar>
              <w:top w:w="45" w:type="dxa"/>
              <w:left w:w="45" w:type="dxa"/>
              <w:bottom w:w="45" w:type="dxa"/>
              <w:right w:w="45" w:type="dxa"/>
            </w:tcMar>
            <w:vAlign w:val="center"/>
            <w:hideMark/>
          </w:tcPr>
          <w:p w:rsidR="003E5C45" w:rsidRPr="003E5C45" w:rsidRDefault="003E5C45" w:rsidP="003E5C45">
            <w:pPr>
              <w:spacing w:before="240" w:after="240"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Continuing a decade-long increase, global food prices rose 2.7 percent in 2012, reaching levels not seen since the 1960s and 1970s but still well below the price spike of 1974. Between 2000 and 2012, the World Bank global food price index increased 104.5 percent, at an average annual rate of 6.5 percent.</w:t>
            </w:r>
          </w:p>
          <w:p w:rsidR="003E5C45" w:rsidRPr="003E5C45" w:rsidRDefault="003E5C45" w:rsidP="003E5C45">
            <w:pPr>
              <w:spacing w:before="240" w:after="240"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The price increases reverse a previous trend when real prices of food commodities declined at an average annual rate of 0.6 percent from 1960 to 1999, approaching historic lows. The sustained price decline can be attributed to farmers’ success in keeping crop yields ahead of rising worldwide food demand. Although the global population grew by 3.8 billion or 122.9 percent between 1961 and 2010, net per capita food production increased by 49 percent over this period. Advances in crop breeding and an expansion of agricultural land drove this rise in production, as farmers cultivated an additional 434 million hectares between 1961 and 2010.</w:t>
            </w:r>
          </w:p>
          <w:p w:rsidR="003E5C45" w:rsidRPr="003E5C45" w:rsidRDefault="003E5C45" w:rsidP="003E5C45">
            <w:pPr>
              <w:spacing w:before="240" w:after="240"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Food price volatility has increased dramatically since 2006. According to the United Nations Food and Agriculture Organization (FAO), the standard deviation—or measurement of variation from the average—for food prices between 1990 and 1999 was 7.7 index points, but it increased to 22.4 index points in the 2000–12 period.</w:t>
            </w:r>
          </w:p>
          <w:p w:rsidR="003E5C45" w:rsidRPr="003E5C45" w:rsidRDefault="003E5C45" w:rsidP="003E5C45">
            <w:pPr>
              <w:spacing w:before="240" w:after="240" w:line="288" w:lineRule="auto"/>
              <w:rPr>
                <w:rFonts w:ascii="Arial" w:hAnsi="Arial" w:cs="Arial"/>
                <w:color w:val="666666"/>
                <w:sz w:val="20"/>
                <w:szCs w:val="20"/>
                <w:lang w:eastAsia="nl-NL"/>
              </w:rPr>
            </w:pPr>
            <w:r w:rsidRPr="003E5C45">
              <w:rPr>
                <w:rFonts w:ascii="Arial" w:hAnsi="Arial" w:cs="Arial"/>
                <w:noProof/>
                <w:color w:val="666666"/>
                <w:sz w:val="20"/>
                <w:szCs w:val="20"/>
                <w:lang w:eastAsia="nl-NL"/>
              </w:rPr>
              <w:drawing>
                <wp:inline distT="0" distB="0" distL="0" distR="0" wp14:anchorId="6D9B360C" wp14:editId="76756C48">
                  <wp:extent cx="5476240" cy="3896360"/>
                  <wp:effectExtent l="0" t="0" r="0" b="8890"/>
                  <wp:docPr id="8" name="Afbeelding 8" descr="http://i50.tinypic.com/2u5s3z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50.tinypic.com/2u5s3zt.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6240" cy="3896360"/>
                          </a:xfrm>
                          <a:prstGeom prst="rect">
                            <a:avLst/>
                          </a:prstGeom>
                          <a:noFill/>
                          <a:ln>
                            <a:noFill/>
                          </a:ln>
                        </pic:spPr>
                      </pic:pic>
                    </a:graphicData>
                  </a:graphic>
                </wp:inline>
              </w:drawing>
            </w:r>
          </w:p>
          <w:p w:rsidR="003E5C45" w:rsidRPr="003E5C45" w:rsidRDefault="003E5C45" w:rsidP="003E5C45">
            <w:pPr>
              <w:spacing w:before="240" w:after="240"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 xml:space="preserve">Although food price volatility has increased in the last decade, it is not a new phenomenon. According to World Bank data, the standard deviation for food prices in 1960–99 was 11.9 index points higher than in 2000–12. Some price volatility is inherent in agricultural commodities markets, as they are </w:t>
            </w:r>
            <w:r w:rsidRPr="003E5C45">
              <w:rPr>
                <w:rFonts w:ascii="Arial" w:hAnsi="Arial" w:cs="Arial"/>
                <w:color w:val="666666"/>
                <w:sz w:val="20"/>
                <w:szCs w:val="20"/>
                <w:lang w:val="en-US" w:eastAsia="nl-NL"/>
              </w:rPr>
              <w:lastRenderedPageBreak/>
              <w:t>strongly influenced by weather shocks. But the recent upward trend in food prices and volatility can be traced to additional factors including climate change, policies promoting the use of biofuels, rising energy and fertilizer prices, poor harvests, national export restrictions, rising global food demand, and low food stocks.</w:t>
            </w:r>
          </w:p>
          <w:p w:rsidR="003E5C45" w:rsidRPr="003E5C45" w:rsidRDefault="003E5C45" w:rsidP="003E5C45">
            <w:pPr>
              <w:spacing w:before="240" w:after="240"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Perhaps most significant has been an increase in biofuels production in the last decade. Between 2000 and 2011, global biofuels production increased more than 500 percent, due in part to higher oil prices and the adoption of biofuel mandates in the United States and European Union (EU). According to a 2012 study by the University of Bonn’s Center for Development Research, if biofuel production continues to expand according to current plans, the price of feedstock crops (particularly maize, oilseed crops, and sugar cane) will increase more than 11 percent by 2020.</w:t>
            </w:r>
          </w:p>
          <w:p w:rsidR="003E5C45" w:rsidRPr="003E5C45" w:rsidRDefault="003E5C45" w:rsidP="003E5C45">
            <w:pPr>
              <w:spacing w:before="240" w:after="240"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Large-scale imports of agricultural commodities in 2007–08 and 2011 were important factors in the global food price spikes in those years. High Chinese imports of soybeans, for instance, contributed to the 2011 spike. National export restrictions, including taxes and bans, also drove up food prices; policies enacted in 2007–08 in response to the price spike generated panic in net-food importing countries and raised grain prices by as much as 30 percent, according to some estimates.</w:t>
            </w:r>
          </w:p>
          <w:p w:rsidR="003E5C45" w:rsidRPr="003E5C45" w:rsidRDefault="003E5C45" w:rsidP="003E5C45">
            <w:pPr>
              <w:spacing w:before="240" w:after="240"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In the last few decades, periods in which the cereals stock-to-use ratio (the level of carryover reserves of cereals as a percentage of total annual use) was near its minimum have correlated with a high price of calories from food commodities. When food stocks are high, shocks can be absorbed more easily than when stocks are low or nonexistent. The world stock-to-use ratio for calories from wheat, maize, and rice was lower in the last decade than in the two preceding decades, which may be a main reason for higher global food prices.</w:t>
            </w:r>
          </w:p>
          <w:p w:rsidR="003E5C45" w:rsidRPr="003E5C45" w:rsidRDefault="003E5C45" w:rsidP="003E5C45">
            <w:pPr>
              <w:spacing w:before="240" w:after="240"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 xml:space="preserve">Rising energy and fertilizer prices drove up food prices as well, by adding to production, processing, transportation, and storage costs. According to the World Bank commodity price index, the average price of energy during 2000–12 was 183.6 percent higher than the average price during 1990–99, while the average price of fertilizer increased 104.8 percent in the same period. </w:t>
            </w:r>
          </w:p>
          <w:p w:rsidR="003E5C45" w:rsidRPr="003E5C45" w:rsidRDefault="003E5C45" w:rsidP="003E5C45">
            <w:pPr>
              <w:spacing w:before="240" w:after="240"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There is reason to believe that food commodity prices will be both higher and more volatile in the decades to come. As climate change increases the incidence of extreme weather events, production shocks will become more frequent. Food prices will also likely be driven up by population growth, increasing global affluence, stronger linkages between agriculture and energy markets, and natural resource constraints. According to the FAO, although high food prices tend to aggravate poverty, food insecurity, and malnutrition, they also represent an opportunity to catalyze long-term investment in agriculture, which could boost resilience to climate change and augment global food security.</w:t>
            </w:r>
          </w:p>
          <w:p w:rsidR="003E5C45" w:rsidRPr="003E5C45" w:rsidRDefault="003E5C45" w:rsidP="003E5C45">
            <w:pPr>
              <w:spacing w:line="288" w:lineRule="auto"/>
              <w:rPr>
                <w:rFonts w:ascii="Arial" w:hAnsi="Arial" w:cs="Arial"/>
                <w:color w:val="666666"/>
                <w:sz w:val="20"/>
                <w:szCs w:val="20"/>
                <w:lang w:val="en-US" w:eastAsia="nl-NL"/>
              </w:rPr>
            </w:pPr>
            <w:r w:rsidRPr="003E5C45">
              <w:rPr>
                <w:rFonts w:ascii="Arial" w:hAnsi="Arial" w:cs="Arial"/>
                <w:color w:val="666666"/>
                <w:sz w:val="20"/>
                <w:szCs w:val="20"/>
                <w:lang w:val="en-US" w:eastAsia="nl-NL"/>
              </w:rPr>
              <w:t>Read the</w:t>
            </w:r>
            <w:hyperlink r:id="rId7" w:tgtFrame="_blank" w:history="1">
              <w:r w:rsidRPr="003E5C45">
                <w:rPr>
                  <w:rFonts w:ascii="Arial" w:hAnsi="Arial" w:cs="Arial"/>
                  <w:color w:val="02529B"/>
                  <w:sz w:val="20"/>
                  <w:szCs w:val="20"/>
                  <w:lang w:val="en-US" w:eastAsia="nl-NL"/>
                </w:rPr>
                <w:t xml:space="preserve"> full report</w:t>
              </w:r>
            </w:hyperlink>
            <w:r w:rsidRPr="003E5C45">
              <w:rPr>
                <w:rFonts w:ascii="Arial" w:hAnsi="Arial" w:cs="Arial"/>
                <w:color w:val="666666"/>
                <w:sz w:val="20"/>
                <w:szCs w:val="20"/>
                <w:lang w:val="en-US" w:eastAsia="nl-NL"/>
              </w:rPr>
              <w:t xml:space="preserve"> at </w:t>
            </w:r>
            <w:hyperlink r:id="rId8" w:tgtFrame="_blank" w:history="1">
              <w:r w:rsidRPr="003E5C45">
                <w:rPr>
                  <w:rFonts w:ascii="Arial" w:hAnsi="Arial" w:cs="Arial"/>
                  <w:i/>
                  <w:iCs/>
                  <w:color w:val="02529B"/>
                  <w:sz w:val="20"/>
                  <w:szCs w:val="20"/>
                  <w:lang w:val="en-US" w:eastAsia="nl-NL"/>
                </w:rPr>
                <w:t>Vital Signs Online</w:t>
              </w:r>
            </w:hyperlink>
            <w:r w:rsidRPr="003E5C45">
              <w:rPr>
                <w:rFonts w:ascii="Arial" w:hAnsi="Arial" w:cs="Arial"/>
                <w:b/>
                <w:bCs/>
                <w:i/>
                <w:iCs/>
                <w:color w:val="666666"/>
                <w:sz w:val="20"/>
                <w:szCs w:val="20"/>
                <w:lang w:val="en-US" w:eastAsia="nl-NL"/>
              </w:rPr>
              <w:t>.</w:t>
            </w:r>
          </w:p>
          <w:p w:rsidR="003E5C45" w:rsidRPr="003E5C45" w:rsidRDefault="003E5C45" w:rsidP="003E5C45">
            <w:pPr>
              <w:spacing w:line="288" w:lineRule="auto"/>
              <w:rPr>
                <w:rFonts w:ascii="Arial" w:hAnsi="Arial" w:cs="Arial"/>
                <w:color w:val="666666"/>
                <w:sz w:val="20"/>
                <w:szCs w:val="20"/>
                <w:lang w:val="en-US" w:eastAsia="nl-NL"/>
              </w:rPr>
            </w:pPr>
            <w:hyperlink r:id="rId9" w:tgtFrame="_blank" w:history="1">
              <w:r w:rsidRPr="003E5C45">
                <w:rPr>
                  <w:rFonts w:ascii="Arial" w:hAnsi="Arial" w:cs="Arial"/>
                  <w:b/>
                  <w:bCs/>
                  <w:i/>
                  <w:iCs/>
                  <w:color w:val="02529B"/>
                  <w:sz w:val="20"/>
                  <w:szCs w:val="20"/>
                  <w:lang w:val="en-US" w:eastAsia="nl-NL"/>
                </w:rPr>
                <w:t xml:space="preserve">Sophie </w:t>
              </w:r>
              <w:proofErr w:type="spellStart"/>
              <w:r w:rsidRPr="003E5C45">
                <w:rPr>
                  <w:rFonts w:ascii="Arial" w:hAnsi="Arial" w:cs="Arial"/>
                  <w:b/>
                  <w:bCs/>
                  <w:i/>
                  <w:iCs/>
                  <w:color w:val="02529B"/>
                  <w:sz w:val="20"/>
                  <w:szCs w:val="20"/>
                  <w:lang w:val="en-US" w:eastAsia="nl-NL"/>
                </w:rPr>
                <w:t>Wenzlau</w:t>
              </w:r>
              <w:proofErr w:type="spellEnd"/>
              <w:r w:rsidRPr="003E5C45">
                <w:rPr>
                  <w:rFonts w:ascii="Arial" w:hAnsi="Arial" w:cs="Arial"/>
                  <w:b/>
                  <w:bCs/>
                  <w:i/>
                  <w:iCs/>
                  <w:color w:val="02529B"/>
                  <w:sz w:val="20"/>
                  <w:szCs w:val="20"/>
                  <w:lang w:val="en-US" w:eastAsia="nl-NL"/>
                </w:rPr>
                <w:t xml:space="preserve"> </w:t>
              </w:r>
            </w:hyperlink>
            <w:r w:rsidRPr="003E5C45">
              <w:rPr>
                <w:rFonts w:ascii="Arial" w:hAnsi="Arial" w:cs="Arial"/>
                <w:i/>
                <w:iCs/>
                <w:color w:val="666666"/>
                <w:sz w:val="20"/>
                <w:szCs w:val="20"/>
                <w:lang w:val="en-US" w:eastAsia="nl-NL"/>
              </w:rPr>
              <w:t xml:space="preserve">is a Food and Agriculture Staff Researcher at the </w:t>
            </w:r>
            <w:proofErr w:type="spellStart"/>
            <w:r w:rsidRPr="003E5C45">
              <w:rPr>
                <w:rFonts w:ascii="Arial" w:hAnsi="Arial" w:cs="Arial"/>
                <w:i/>
                <w:iCs/>
                <w:color w:val="666666"/>
                <w:sz w:val="20"/>
                <w:szCs w:val="20"/>
                <w:lang w:val="en-US" w:eastAsia="nl-NL"/>
              </w:rPr>
              <w:t>Worldwatch</w:t>
            </w:r>
            <w:proofErr w:type="spellEnd"/>
            <w:r w:rsidRPr="003E5C45">
              <w:rPr>
                <w:rFonts w:ascii="Arial" w:hAnsi="Arial" w:cs="Arial"/>
                <w:i/>
                <w:iCs/>
                <w:color w:val="666666"/>
                <w:sz w:val="20"/>
                <w:szCs w:val="20"/>
                <w:lang w:val="en-US" w:eastAsia="nl-NL"/>
              </w:rPr>
              <w:t xml:space="preserve"> Institute</w:t>
            </w:r>
          </w:p>
        </w:tc>
      </w:tr>
    </w:tbl>
    <w:p w:rsidR="00B42CDF" w:rsidRPr="003E5C45" w:rsidRDefault="00B42CDF">
      <w:pPr>
        <w:rPr>
          <w:sz w:val="20"/>
          <w:szCs w:val="20"/>
          <w:lang w:val="en-US"/>
        </w:rPr>
      </w:pPr>
    </w:p>
    <w:sectPr w:rsidR="00B42CDF" w:rsidRPr="003E5C45" w:rsidSect="00781920">
      <w:type w:val="continuous"/>
      <w:pgSz w:w="11906" w:h="16838" w:code="9"/>
      <w:pgMar w:top="1418" w:right="1418" w:bottom="1418" w:left="1418" w:header="567" w:footer="425" w:gutter="0"/>
      <w:paperSrc w:first="15" w:other="15"/>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D1C94"/>
    <w:multiLevelType w:val="multilevel"/>
    <w:tmpl w:val="FF16B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C45"/>
    <w:rsid w:val="000021B8"/>
    <w:rsid w:val="00002FAF"/>
    <w:rsid w:val="00006150"/>
    <w:rsid w:val="00006B3E"/>
    <w:rsid w:val="00006C73"/>
    <w:rsid w:val="00007482"/>
    <w:rsid w:val="00011E2C"/>
    <w:rsid w:val="00012562"/>
    <w:rsid w:val="00012ECA"/>
    <w:rsid w:val="000152E9"/>
    <w:rsid w:val="000166CB"/>
    <w:rsid w:val="000208E9"/>
    <w:rsid w:val="0002107D"/>
    <w:rsid w:val="00021AB2"/>
    <w:rsid w:val="0002222C"/>
    <w:rsid w:val="00022275"/>
    <w:rsid w:val="00022BF2"/>
    <w:rsid w:val="000245DD"/>
    <w:rsid w:val="000252A3"/>
    <w:rsid w:val="000252A5"/>
    <w:rsid w:val="00025AA9"/>
    <w:rsid w:val="0002691B"/>
    <w:rsid w:val="00030506"/>
    <w:rsid w:val="00031831"/>
    <w:rsid w:val="000343EF"/>
    <w:rsid w:val="0003516B"/>
    <w:rsid w:val="000357F6"/>
    <w:rsid w:val="00036DE4"/>
    <w:rsid w:val="00036FAF"/>
    <w:rsid w:val="00037886"/>
    <w:rsid w:val="00040FA2"/>
    <w:rsid w:val="00041AE4"/>
    <w:rsid w:val="00044832"/>
    <w:rsid w:val="0004522B"/>
    <w:rsid w:val="00046062"/>
    <w:rsid w:val="0004738A"/>
    <w:rsid w:val="00050956"/>
    <w:rsid w:val="000532F1"/>
    <w:rsid w:val="00054426"/>
    <w:rsid w:val="00057C0F"/>
    <w:rsid w:val="0006253C"/>
    <w:rsid w:val="00065AE9"/>
    <w:rsid w:val="00071094"/>
    <w:rsid w:val="000741FD"/>
    <w:rsid w:val="000753FD"/>
    <w:rsid w:val="00075EBA"/>
    <w:rsid w:val="00076CFF"/>
    <w:rsid w:val="00077798"/>
    <w:rsid w:val="00077F68"/>
    <w:rsid w:val="00080B64"/>
    <w:rsid w:val="00093B3D"/>
    <w:rsid w:val="00093F55"/>
    <w:rsid w:val="00095E87"/>
    <w:rsid w:val="000972C5"/>
    <w:rsid w:val="000A6EA7"/>
    <w:rsid w:val="000B1401"/>
    <w:rsid w:val="000B3287"/>
    <w:rsid w:val="000B3B25"/>
    <w:rsid w:val="000B4608"/>
    <w:rsid w:val="000B522A"/>
    <w:rsid w:val="000B6923"/>
    <w:rsid w:val="000C02C5"/>
    <w:rsid w:val="000C04B5"/>
    <w:rsid w:val="000C2196"/>
    <w:rsid w:val="000C3FF0"/>
    <w:rsid w:val="000C7351"/>
    <w:rsid w:val="000D064C"/>
    <w:rsid w:val="000D247B"/>
    <w:rsid w:val="000D3A7C"/>
    <w:rsid w:val="000D5537"/>
    <w:rsid w:val="000D5FF8"/>
    <w:rsid w:val="000D6842"/>
    <w:rsid w:val="000D6BD7"/>
    <w:rsid w:val="000E25B3"/>
    <w:rsid w:val="000E3722"/>
    <w:rsid w:val="000E37E9"/>
    <w:rsid w:val="000E6307"/>
    <w:rsid w:val="000E7450"/>
    <w:rsid w:val="000F06AF"/>
    <w:rsid w:val="000F1820"/>
    <w:rsid w:val="000F1854"/>
    <w:rsid w:val="000F28C8"/>
    <w:rsid w:val="001003B5"/>
    <w:rsid w:val="0010070E"/>
    <w:rsid w:val="00101708"/>
    <w:rsid w:val="00103404"/>
    <w:rsid w:val="00110E8D"/>
    <w:rsid w:val="0011180E"/>
    <w:rsid w:val="00112472"/>
    <w:rsid w:val="00113E1A"/>
    <w:rsid w:val="00115D2E"/>
    <w:rsid w:val="00116E85"/>
    <w:rsid w:val="00123B6D"/>
    <w:rsid w:val="00124808"/>
    <w:rsid w:val="00127A7C"/>
    <w:rsid w:val="00132C79"/>
    <w:rsid w:val="00132FF5"/>
    <w:rsid w:val="001332B1"/>
    <w:rsid w:val="00133E83"/>
    <w:rsid w:val="00136C29"/>
    <w:rsid w:val="00140401"/>
    <w:rsid w:val="00142E8A"/>
    <w:rsid w:val="0014317B"/>
    <w:rsid w:val="001446F5"/>
    <w:rsid w:val="0014511B"/>
    <w:rsid w:val="00150ED4"/>
    <w:rsid w:val="00153E5F"/>
    <w:rsid w:val="00154415"/>
    <w:rsid w:val="001604EC"/>
    <w:rsid w:val="00160EA0"/>
    <w:rsid w:val="0016706A"/>
    <w:rsid w:val="00170704"/>
    <w:rsid w:val="00173448"/>
    <w:rsid w:val="00173FEF"/>
    <w:rsid w:val="00175A87"/>
    <w:rsid w:val="00176879"/>
    <w:rsid w:val="001807ED"/>
    <w:rsid w:val="00186785"/>
    <w:rsid w:val="0019083C"/>
    <w:rsid w:val="00192B2F"/>
    <w:rsid w:val="00192CE0"/>
    <w:rsid w:val="0019342A"/>
    <w:rsid w:val="00197240"/>
    <w:rsid w:val="001A1500"/>
    <w:rsid w:val="001A4061"/>
    <w:rsid w:val="001A4EAB"/>
    <w:rsid w:val="001A7F68"/>
    <w:rsid w:val="001B0FC3"/>
    <w:rsid w:val="001B15D9"/>
    <w:rsid w:val="001B27BD"/>
    <w:rsid w:val="001B3D0D"/>
    <w:rsid w:val="001B3EFA"/>
    <w:rsid w:val="001B4098"/>
    <w:rsid w:val="001B7499"/>
    <w:rsid w:val="001C09E3"/>
    <w:rsid w:val="001C406B"/>
    <w:rsid w:val="001C6C7B"/>
    <w:rsid w:val="001D021D"/>
    <w:rsid w:val="001D2B8A"/>
    <w:rsid w:val="001E251D"/>
    <w:rsid w:val="001F5052"/>
    <w:rsid w:val="001F616B"/>
    <w:rsid w:val="00200648"/>
    <w:rsid w:val="002009C2"/>
    <w:rsid w:val="00200B2F"/>
    <w:rsid w:val="00202258"/>
    <w:rsid w:val="002027DC"/>
    <w:rsid w:val="00203044"/>
    <w:rsid w:val="0020364F"/>
    <w:rsid w:val="00203930"/>
    <w:rsid w:val="00207663"/>
    <w:rsid w:val="00207EB7"/>
    <w:rsid w:val="0021003E"/>
    <w:rsid w:val="00215081"/>
    <w:rsid w:val="00217605"/>
    <w:rsid w:val="002226F6"/>
    <w:rsid w:val="00224DD5"/>
    <w:rsid w:val="00225CF2"/>
    <w:rsid w:val="002269A6"/>
    <w:rsid w:val="00230896"/>
    <w:rsid w:val="00232BFF"/>
    <w:rsid w:val="00236B3B"/>
    <w:rsid w:val="00237148"/>
    <w:rsid w:val="00237C92"/>
    <w:rsid w:val="0024157E"/>
    <w:rsid w:val="00243B31"/>
    <w:rsid w:val="002446B0"/>
    <w:rsid w:val="00244F82"/>
    <w:rsid w:val="00245936"/>
    <w:rsid w:val="00247253"/>
    <w:rsid w:val="00250110"/>
    <w:rsid w:val="00250A6A"/>
    <w:rsid w:val="002537F9"/>
    <w:rsid w:val="00260840"/>
    <w:rsid w:val="00265D46"/>
    <w:rsid w:val="00267C0A"/>
    <w:rsid w:val="002710ED"/>
    <w:rsid w:val="00271886"/>
    <w:rsid w:val="00272C69"/>
    <w:rsid w:val="0027688B"/>
    <w:rsid w:val="00277A0F"/>
    <w:rsid w:val="002813B1"/>
    <w:rsid w:val="00281564"/>
    <w:rsid w:val="00282B65"/>
    <w:rsid w:val="002830F3"/>
    <w:rsid w:val="0028350C"/>
    <w:rsid w:val="0028477C"/>
    <w:rsid w:val="002973D2"/>
    <w:rsid w:val="00297CC6"/>
    <w:rsid w:val="002A1297"/>
    <w:rsid w:val="002A4242"/>
    <w:rsid w:val="002A4C8D"/>
    <w:rsid w:val="002A52AD"/>
    <w:rsid w:val="002A5312"/>
    <w:rsid w:val="002A54A8"/>
    <w:rsid w:val="002A67D0"/>
    <w:rsid w:val="002B1498"/>
    <w:rsid w:val="002B2F6F"/>
    <w:rsid w:val="002B5599"/>
    <w:rsid w:val="002B65D0"/>
    <w:rsid w:val="002B672B"/>
    <w:rsid w:val="002B68EB"/>
    <w:rsid w:val="002B7C19"/>
    <w:rsid w:val="002C0759"/>
    <w:rsid w:val="002C47D6"/>
    <w:rsid w:val="002C635C"/>
    <w:rsid w:val="002D2089"/>
    <w:rsid w:val="002D403D"/>
    <w:rsid w:val="002D40F5"/>
    <w:rsid w:val="002D5B14"/>
    <w:rsid w:val="002D5DC2"/>
    <w:rsid w:val="002D6771"/>
    <w:rsid w:val="002E421C"/>
    <w:rsid w:val="002E4524"/>
    <w:rsid w:val="002F18C1"/>
    <w:rsid w:val="002F604A"/>
    <w:rsid w:val="00300C28"/>
    <w:rsid w:val="00301330"/>
    <w:rsid w:val="003020F4"/>
    <w:rsid w:val="003036C4"/>
    <w:rsid w:val="00303B5B"/>
    <w:rsid w:val="00304E74"/>
    <w:rsid w:val="00305C84"/>
    <w:rsid w:val="003070EE"/>
    <w:rsid w:val="00312A3C"/>
    <w:rsid w:val="0031321F"/>
    <w:rsid w:val="00316A26"/>
    <w:rsid w:val="003201B6"/>
    <w:rsid w:val="00321E7C"/>
    <w:rsid w:val="00322550"/>
    <w:rsid w:val="00323CDF"/>
    <w:rsid w:val="00325259"/>
    <w:rsid w:val="003279D7"/>
    <w:rsid w:val="00333DA7"/>
    <w:rsid w:val="003354F0"/>
    <w:rsid w:val="00335EAF"/>
    <w:rsid w:val="00337329"/>
    <w:rsid w:val="0033795B"/>
    <w:rsid w:val="00337D0A"/>
    <w:rsid w:val="0034202F"/>
    <w:rsid w:val="00342973"/>
    <w:rsid w:val="00345C8B"/>
    <w:rsid w:val="00346C4C"/>
    <w:rsid w:val="00350BAE"/>
    <w:rsid w:val="00351FDA"/>
    <w:rsid w:val="00352E5D"/>
    <w:rsid w:val="00354B51"/>
    <w:rsid w:val="003563C2"/>
    <w:rsid w:val="003566F9"/>
    <w:rsid w:val="0036089A"/>
    <w:rsid w:val="0036236C"/>
    <w:rsid w:val="00364318"/>
    <w:rsid w:val="00370791"/>
    <w:rsid w:val="00371533"/>
    <w:rsid w:val="00371714"/>
    <w:rsid w:val="003747D4"/>
    <w:rsid w:val="00377ACA"/>
    <w:rsid w:val="00383A0D"/>
    <w:rsid w:val="003848B9"/>
    <w:rsid w:val="00386F2E"/>
    <w:rsid w:val="00390BF7"/>
    <w:rsid w:val="00392201"/>
    <w:rsid w:val="00395218"/>
    <w:rsid w:val="00395E5A"/>
    <w:rsid w:val="00397285"/>
    <w:rsid w:val="003A090C"/>
    <w:rsid w:val="003A21B3"/>
    <w:rsid w:val="003A3B26"/>
    <w:rsid w:val="003A3FFE"/>
    <w:rsid w:val="003A436E"/>
    <w:rsid w:val="003A65FF"/>
    <w:rsid w:val="003A6C49"/>
    <w:rsid w:val="003A746E"/>
    <w:rsid w:val="003A7EF5"/>
    <w:rsid w:val="003B1050"/>
    <w:rsid w:val="003B40E4"/>
    <w:rsid w:val="003B6E1B"/>
    <w:rsid w:val="003B6E51"/>
    <w:rsid w:val="003C0534"/>
    <w:rsid w:val="003C08FE"/>
    <w:rsid w:val="003C232E"/>
    <w:rsid w:val="003C3E34"/>
    <w:rsid w:val="003C4779"/>
    <w:rsid w:val="003C5FF9"/>
    <w:rsid w:val="003C673E"/>
    <w:rsid w:val="003D01DC"/>
    <w:rsid w:val="003D558E"/>
    <w:rsid w:val="003D7096"/>
    <w:rsid w:val="003E1CED"/>
    <w:rsid w:val="003E2293"/>
    <w:rsid w:val="003E5C45"/>
    <w:rsid w:val="003F14C0"/>
    <w:rsid w:val="003F22F9"/>
    <w:rsid w:val="003F325D"/>
    <w:rsid w:val="003F633F"/>
    <w:rsid w:val="003F63D9"/>
    <w:rsid w:val="003F7BAE"/>
    <w:rsid w:val="004008E9"/>
    <w:rsid w:val="00401B0A"/>
    <w:rsid w:val="00405E32"/>
    <w:rsid w:val="004071E4"/>
    <w:rsid w:val="00412BE1"/>
    <w:rsid w:val="00421628"/>
    <w:rsid w:val="00424D85"/>
    <w:rsid w:val="0042581A"/>
    <w:rsid w:val="00426177"/>
    <w:rsid w:val="0043159F"/>
    <w:rsid w:val="00431E64"/>
    <w:rsid w:val="0043566B"/>
    <w:rsid w:val="00436D6F"/>
    <w:rsid w:val="004378ED"/>
    <w:rsid w:val="00442B57"/>
    <w:rsid w:val="0044339E"/>
    <w:rsid w:val="0044450E"/>
    <w:rsid w:val="00445640"/>
    <w:rsid w:val="00445A52"/>
    <w:rsid w:val="00445EE6"/>
    <w:rsid w:val="00447516"/>
    <w:rsid w:val="00447B5D"/>
    <w:rsid w:val="00451D49"/>
    <w:rsid w:val="0045357E"/>
    <w:rsid w:val="00453F15"/>
    <w:rsid w:val="004560A4"/>
    <w:rsid w:val="00460C3C"/>
    <w:rsid w:val="004618D0"/>
    <w:rsid w:val="00463A82"/>
    <w:rsid w:val="00467278"/>
    <w:rsid w:val="004705CF"/>
    <w:rsid w:val="0047349D"/>
    <w:rsid w:val="00474418"/>
    <w:rsid w:val="00474B79"/>
    <w:rsid w:val="00476372"/>
    <w:rsid w:val="00476A79"/>
    <w:rsid w:val="004807E0"/>
    <w:rsid w:val="004807FF"/>
    <w:rsid w:val="00482B8B"/>
    <w:rsid w:val="00485793"/>
    <w:rsid w:val="00486C48"/>
    <w:rsid w:val="00487040"/>
    <w:rsid w:val="0049322A"/>
    <w:rsid w:val="004939CA"/>
    <w:rsid w:val="00496C34"/>
    <w:rsid w:val="00497242"/>
    <w:rsid w:val="004A07B4"/>
    <w:rsid w:val="004A1347"/>
    <w:rsid w:val="004A1E7E"/>
    <w:rsid w:val="004A2EF0"/>
    <w:rsid w:val="004A4B77"/>
    <w:rsid w:val="004A6469"/>
    <w:rsid w:val="004A7EF7"/>
    <w:rsid w:val="004B42BB"/>
    <w:rsid w:val="004B4C01"/>
    <w:rsid w:val="004B7532"/>
    <w:rsid w:val="004C152C"/>
    <w:rsid w:val="004C3431"/>
    <w:rsid w:val="004C448B"/>
    <w:rsid w:val="004C57F5"/>
    <w:rsid w:val="004C5C7A"/>
    <w:rsid w:val="004C632A"/>
    <w:rsid w:val="004C6EEF"/>
    <w:rsid w:val="004C7A69"/>
    <w:rsid w:val="004D1459"/>
    <w:rsid w:val="004D3EFD"/>
    <w:rsid w:val="004D50EB"/>
    <w:rsid w:val="004D5BF4"/>
    <w:rsid w:val="004D7DA5"/>
    <w:rsid w:val="004E378D"/>
    <w:rsid w:val="004E3E67"/>
    <w:rsid w:val="004E3F8B"/>
    <w:rsid w:val="004E5DA6"/>
    <w:rsid w:val="004E773A"/>
    <w:rsid w:val="004F0484"/>
    <w:rsid w:val="004F1565"/>
    <w:rsid w:val="004F3459"/>
    <w:rsid w:val="004F516E"/>
    <w:rsid w:val="004F5AF2"/>
    <w:rsid w:val="004F5E30"/>
    <w:rsid w:val="004F6096"/>
    <w:rsid w:val="004F6841"/>
    <w:rsid w:val="004F6B7E"/>
    <w:rsid w:val="004F7533"/>
    <w:rsid w:val="00504216"/>
    <w:rsid w:val="00505CEC"/>
    <w:rsid w:val="00506672"/>
    <w:rsid w:val="00510DD0"/>
    <w:rsid w:val="005153E9"/>
    <w:rsid w:val="005165CE"/>
    <w:rsid w:val="005175A6"/>
    <w:rsid w:val="00520710"/>
    <w:rsid w:val="00521763"/>
    <w:rsid w:val="00522E06"/>
    <w:rsid w:val="00522E63"/>
    <w:rsid w:val="00523B08"/>
    <w:rsid w:val="00525162"/>
    <w:rsid w:val="00525DE3"/>
    <w:rsid w:val="00525E5C"/>
    <w:rsid w:val="00526F92"/>
    <w:rsid w:val="00527A41"/>
    <w:rsid w:val="00530160"/>
    <w:rsid w:val="00531376"/>
    <w:rsid w:val="00531B8A"/>
    <w:rsid w:val="00532869"/>
    <w:rsid w:val="00533E1F"/>
    <w:rsid w:val="00533F71"/>
    <w:rsid w:val="00537838"/>
    <w:rsid w:val="0054261D"/>
    <w:rsid w:val="0055060E"/>
    <w:rsid w:val="005506DF"/>
    <w:rsid w:val="005517FF"/>
    <w:rsid w:val="005529C7"/>
    <w:rsid w:val="00552FB5"/>
    <w:rsid w:val="00555BF2"/>
    <w:rsid w:val="00555F35"/>
    <w:rsid w:val="00560A86"/>
    <w:rsid w:val="00561BA4"/>
    <w:rsid w:val="00563E8A"/>
    <w:rsid w:val="00564585"/>
    <w:rsid w:val="00566538"/>
    <w:rsid w:val="00567E2D"/>
    <w:rsid w:val="005747E6"/>
    <w:rsid w:val="005769F7"/>
    <w:rsid w:val="00577078"/>
    <w:rsid w:val="00577205"/>
    <w:rsid w:val="005777A4"/>
    <w:rsid w:val="00580091"/>
    <w:rsid w:val="00580866"/>
    <w:rsid w:val="00582E87"/>
    <w:rsid w:val="00583672"/>
    <w:rsid w:val="00584C50"/>
    <w:rsid w:val="005865AE"/>
    <w:rsid w:val="005902FB"/>
    <w:rsid w:val="005904CF"/>
    <w:rsid w:val="00592304"/>
    <w:rsid w:val="00593287"/>
    <w:rsid w:val="00594884"/>
    <w:rsid w:val="00595728"/>
    <w:rsid w:val="005976D5"/>
    <w:rsid w:val="005A0036"/>
    <w:rsid w:val="005A0955"/>
    <w:rsid w:val="005A1858"/>
    <w:rsid w:val="005A63A9"/>
    <w:rsid w:val="005B1A92"/>
    <w:rsid w:val="005B21A0"/>
    <w:rsid w:val="005B2BF2"/>
    <w:rsid w:val="005B3078"/>
    <w:rsid w:val="005B3B95"/>
    <w:rsid w:val="005B70D2"/>
    <w:rsid w:val="005B799A"/>
    <w:rsid w:val="005C0FE8"/>
    <w:rsid w:val="005C30E8"/>
    <w:rsid w:val="005C5FEE"/>
    <w:rsid w:val="005C77F1"/>
    <w:rsid w:val="005C78E7"/>
    <w:rsid w:val="005D0A0A"/>
    <w:rsid w:val="005D3C05"/>
    <w:rsid w:val="005D5216"/>
    <w:rsid w:val="005D535B"/>
    <w:rsid w:val="005D658E"/>
    <w:rsid w:val="005E1306"/>
    <w:rsid w:val="005E1462"/>
    <w:rsid w:val="005E463A"/>
    <w:rsid w:val="005E70A1"/>
    <w:rsid w:val="005F1FB9"/>
    <w:rsid w:val="005F375C"/>
    <w:rsid w:val="005F506D"/>
    <w:rsid w:val="005F5D04"/>
    <w:rsid w:val="005F72C5"/>
    <w:rsid w:val="00601741"/>
    <w:rsid w:val="00601E5D"/>
    <w:rsid w:val="006039C0"/>
    <w:rsid w:val="00603A84"/>
    <w:rsid w:val="00605CD0"/>
    <w:rsid w:val="00606C86"/>
    <w:rsid w:val="0060736F"/>
    <w:rsid w:val="006107F5"/>
    <w:rsid w:val="0061115B"/>
    <w:rsid w:val="00611A40"/>
    <w:rsid w:val="006121CF"/>
    <w:rsid w:val="00613DF0"/>
    <w:rsid w:val="00613E9E"/>
    <w:rsid w:val="00621B58"/>
    <w:rsid w:val="00621F23"/>
    <w:rsid w:val="006232EB"/>
    <w:rsid w:val="00624F64"/>
    <w:rsid w:val="00625C83"/>
    <w:rsid w:val="00626ED3"/>
    <w:rsid w:val="006326BF"/>
    <w:rsid w:val="006328DE"/>
    <w:rsid w:val="00632999"/>
    <w:rsid w:val="006339AD"/>
    <w:rsid w:val="00634579"/>
    <w:rsid w:val="006349CB"/>
    <w:rsid w:val="00635282"/>
    <w:rsid w:val="00636A47"/>
    <w:rsid w:val="00637714"/>
    <w:rsid w:val="00640EAA"/>
    <w:rsid w:val="00641571"/>
    <w:rsid w:val="00641660"/>
    <w:rsid w:val="00642DE9"/>
    <w:rsid w:val="00644516"/>
    <w:rsid w:val="00645F0D"/>
    <w:rsid w:val="0064635D"/>
    <w:rsid w:val="006466C7"/>
    <w:rsid w:val="00647A4B"/>
    <w:rsid w:val="00652C59"/>
    <w:rsid w:val="006549E1"/>
    <w:rsid w:val="006557E8"/>
    <w:rsid w:val="00655B12"/>
    <w:rsid w:val="00657018"/>
    <w:rsid w:val="00657C76"/>
    <w:rsid w:val="006614C1"/>
    <w:rsid w:val="00661802"/>
    <w:rsid w:val="006663A9"/>
    <w:rsid w:val="006668D2"/>
    <w:rsid w:val="0067043C"/>
    <w:rsid w:val="006711D2"/>
    <w:rsid w:val="006731E4"/>
    <w:rsid w:val="006745B5"/>
    <w:rsid w:val="00677FC0"/>
    <w:rsid w:val="00684346"/>
    <w:rsid w:val="00687487"/>
    <w:rsid w:val="006922B7"/>
    <w:rsid w:val="00692B38"/>
    <w:rsid w:val="00692B4D"/>
    <w:rsid w:val="006935F9"/>
    <w:rsid w:val="00693F07"/>
    <w:rsid w:val="006A0A79"/>
    <w:rsid w:val="006A1561"/>
    <w:rsid w:val="006A1B09"/>
    <w:rsid w:val="006A244F"/>
    <w:rsid w:val="006A5229"/>
    <w:rsid w:val="006B1BA5"/>
    <w:rsid w:val="006B4C02"/>
    <w:rsid w:val="006B5E02"/>
    <w:rsid w:val="006B6900"/>
    <w:rsid w:val="006B75D3"/>
    <w:rsid w:val="006C0D84"/>
    <w:rsid w:val="006C27E9"/>
    <w:rsid w:val="006C3078"/>
    <w:rsid w:val="006C34EC"/>
    <w:rsid w:val="006C4C8E"/>
    <w:rsid w:val="006D0050"/>
    <w:rsid w:val="006D1D83"/>
    <w:rsid w:val="006D317C"/>
    <w:rsid w:val="006D4594"/>
    <w:rsid w:val="006D52C8"/>
    <w:rsid w:val="006D5DE9"/>
    <w:rsid w:val="006D7DEB"/>
    <w:rsid w:val="006E01C2"/>
    <w:rsid w:val="006E046B"/>
    <w:rsid w:val="006E247A"/>
    <w:rsid w:val="006E3DCF"/>
    <w:rsid w:val="006E4E3C"/>
    <w:rsid w:val="006E5237"/>
    <w:rsid w:val="006E6013"/>
    <w:rsid w:val="006E7196"/>
    <w:rsid w:val="006E76C2"/>
    <w:rsid w:val="006F0E9E"/>
    <w:rsid w:val="006F173E"/>
    <w:rsid w:val="006F2B3B"/>
    <w:rsid w:val="006F2FC4"/>
    <w:rsid w:val="006F3BC3"/>
    <w:rsid w:val="006F4BE5"/>
    <w:rsid w:val="006F6873"/>
    <w:rsid w:val="0070215D"/>
    <w:rsid w:val="0070464C"/>
    <w:rsid w:val="00704DC8"/>
    <w:rsid w:val="007051AB"/>
    <w:rsid w:val="00705A9F"/>
    <w:rsid w:val="007073F5"/>
    <w:rsid w:val="00710F40"/>
    <w:rsid w:val="0071469E"/>
    <w:rsid w:val="00714E43"/>
    <w:rsid w:val="00715A92"/>
    <w:rsid w:val="00722237"/>
    <w:rsid w:val="00723017"/>
    <w:rsid w:val="007242B0"/>
    <w:rsid w:val="0072684B"/>
    <w:rsid w:val="0072789B"/>
    <w:rsid w:val="007301F5"/>
    <w:rsid w:val="00730ECA"/>
    <w:rsid w:val="00736937"/>
    <w:rsid w:val="007375F1"/>
    <w:rsid w:val="007378C3"/>
    <w:rsid w:val="00740E8A"/>
    <w:rsid w:val="00741301"/>
    <w:rsid w:val="00742FE3"/>
    <w:rsid w:val="00744E35"/>
    <w:rsid w:val="00746631"/>
    <w:rsid w:val="00746A21"/>
    <w:rsid w:val="00747C43"/>
    <w:rsid w:val="007500CF"/>
    <w:rsid w:val="0075216B"/>
    <w:rsid w:val="00753099"/>
    <w:rsid w:val="0075746D"/>
    <w:rsid w:val="007635F4"/>
    <w:rsid w:val="00764176"/>
    <w:rsid w:val="0076492B"/>
    <w:rsid w:val="00765D55"/>
    <w:rsid w:val="00770105"/>
    <w:rsid w:val="007704A1"/>
    <w:rsid w:val="00776C38"/>
    <w:rsid w:val="00781113"/>
    <w:rsid w:val="00781920"/>
    <w:rsid w:val="00782382"/>
    <w:rsid w:val="007841B6"/>
    <w:rsid w:val="00784CEF"/>
    <w:rsid w:val="00786A93"/>
    <w:rsid w:val="0078751B"/>
    <w:rsid w:val="00795BEB"/>
    <w:rsid w:val="007A0091"/>
    <w:rsid w:val="007A214A"/>
    <w:rsid w:val="007A5B85"/>
    <w:rsid w:val="007A74D7"/>
    <w:rsid w:val="007A7BE1"/>
    <w:rsid w:val="007A7D40"/>
    <w:rsid w:val="007B086A"/>
    <w:rsid w:val="007B0E9C"/>
    <w:rsid w:val="007B1691"/>
    <w:rsid w:val="007B2277"/>
    <w:rsid w:val="007B3595"/>
    <w:rsid w:val="007B5B6E"/>
    <w:rsid w:val="007B6B22"/>
    <w:rsid w:val="007C3E70"/>
    <w:rsid w:val="007C5D1D"/>
    <w:rsid w:val="007D253A"/>
    <w:rsid w:val="007D4498"/>
    <w:rsid w:val="007D4B0A"/>
    <w:rsid w:val="007D5240"/>
    <w:rsid w:val="007D70A0"/>
    <w:rsid w:val="007E1102"/>
    <w:rsid w:val="007E1B1B"/>
    <w:rsid w:val="007E3BC7"/>
    <w:rsid w:val="007E4756"/>
    <w:rsid w:val="007F1318"/>
    <w:rsid w:val="007F240B"/>
    <w:rsid w:val="0080162D"/>
    <w:rsid w:val="008040E2"/>
    <w:rsid w:val="00804CB8"/>
    <w:rsid w:val="00807D7B"/>
    <w:rsid w:val="00811D40"/>
    <w:rsid w:val="0081243A"/>
    <w:rsid w:val="0081321B"/>
    <w:rsid w:val="0081385C"/>
    <w:rsid w:val="00820C5C"/>
    <w:rsid w:val="00823F40"/>
    <w:rsid w:val="0082469A"/>
    <w:rsid w:val="00825940"/>
    <w:rsid w:val="00826A8A"/>
    <w:rsid w:val="00831EA4"/>
    <w:rsid w:val="0083344A"/>
    <w:rsid w:val="008355B6"/>
    <w:rsid w:val="008439E0"/>
    <w:rsid w:val="00845C69"/>
    <w:rsid w:val="008462BA"/>
    <w:rsid w:val="0084690B"/>
    <w:rsid w:val="00850CF5"/>
    <w:rsid w:val="0085372D"/>
    <w:rsid w:val="00853E60"/>
    <w:rsid w:val="008540B5"/>
    <w:rsid w:val="00855D6F"/>
    <w:rsid w:val="00857DBF"/>
    <w:rsid w:val="00862518"/>
    <w:rsid w:val="00866386"/>
    <w:rsid w:val="00867325"/>
    <w:rsid w:val="0086757D"/>
    <w:rsid w:val="00867EDC"/>
    <w:rsid w:val="00870933"/>
    <w:rsid w:val="00871542"/>
    <w:rsid w:val="00871DD2"/>
    <w:rsid w:val="00873109"/>
    <w:rsid w:val="00873247"/>
    <w:rsid w:val="008742EC"/>
    <w:rsid w:val="00877661"/>
    <w:rsid w:val="00880B82"/>
    <w:rsid w:val="008837A8"/>
    <w:rsid w:val="00887789"/>
    <w:rsid w:val="008918EB"/>
    <w:rsid w:val="00893F51"/>
    <w:rsid w:val="00895647"/>
    <w:rsid w:val="00896F80"/>
    <w:rsid w:val="008A155E"/>
    <w:rsid w:val="008A29F2"/>
    <w:rsid w:val="008A2CAF"/>
    <w:rsid w:val="008A5D04"/>
    <w:rsid w:val="008A690F"/>
    <w:rsid w:val="008B16C3"/>
    <w:rsid w:val="008B4C0A"/>
    <w:rsid w:val="008B4C3A"/>
    <w:rsid w:val="008B5178"/>
    <w:rsid w:val="008C46CD"/>
    <w:rsid w:val="008C6B96"/>
    <w:rsid w:val="008D04F6"/>
    <w:rsid w:val="008D0C83"/>
    <w:rsid w:val="008D201F"/>
    <w:rsid w:val="008D21AF"/>
    <w:rsid w:val="008D53B8"/>
    <w:rsid w:val="008E393A"/>
    <w:rsid w:val="008E4FD6"/>
    <w:rsid w:val="008F0880"/>
    <w:rsid w:val="008F090C"/>
    <w:rsid w:val="008F115B"/>
    <w:rsid w:val="008F1A10"/>
    <w:rsid w:val="008F2B03"/>
    <w:rsid w:val="008F2B48"/>
    <w:rsid w:val="008F3D29"/>
    <w:rsid w:val="008F4F10"/>
    <w:rsid w:val="008F577B"/>
    <w:rsid w:val="0090009C"/>
    <w:rsid w:val="0090291D"/>
    <w:rsid w:val="00905E48"/>
    <w:rsid w:val="009117F3"/>
    <w:rsid w:val="00911FEF"/>
    <w:rsid w:val="00915C11"/>
    <w:rsid w:val="009164FD"/>
    <w:rsid w:val="00917FD9"/>
    <w:rsid w:val="00920F85"/>
    <w:rsid w:val="00922DE1"/>
    <w:rsid w:val="0092534C"/>
    <w:rsid w:val="009255E2"/>
    <w:rsid w:val="009303C7"/>
    <w:rsid w:val="00930F9F"/>
    <w:rsid w:val="0093114C"/>
    <w:rsid w:val="00933089"/>
    <w:rsid w:val="00933D45"/>
    <w:rsid w:val="00933D7B"/>
    <w:rsid w:val="00934410"/>
    <w:rsid w:val="00935429"/>
    <w:rsid w:val="009358E5"/>
    <w:rsid w:val="00935C61"/>
    <w:rsid w:val="00936CDA"/>
    <w:rsid w:val="00943221"/>
    <w:rsid w:val="00943C3C"/>
    <w:rsid w:val="0094529C"/>
    <w:rsid w:val="00945510"/>
    <w:rsid w:val="009524D5"/>
    <w:rsid w:val="00952FC3"/>
    <w:rsid w:val="0095536A"/>
    <w:rsid w:val="009605CF"/>
    <w:rsid w:val="00960813"/>
    <w:rsid w:val="00960FAE"/>
    <w:rsid w:val="0096274B"/>
    <w:rsid w:val="0096296C"/>
    <w:rsid w:val="00962BD8"/>
    <w:rsid w:val="00964FE3"/>
    <w:rsid w:val="0096537D"/>
    <w:rsid w:val="00971E9A"/>
    <w:rsid w:val="00972B77"/>
    <w:rsid w:val="00973F8C"/>
    <w:rsid w:val="00976C79"/>
    <w:rsid w:val="00976D6E"/>
    <w:rsid w:val="0098407E"/>
    <w:rsid w:val="0098684B"/>
    <w:rsid w:val="00986AF1"/>
    <w:rsid w:val="00995E4F"/>
    <w:rsid w:val="0099772E"/>
    <w:rsid w:val="00997CEF"/>
    <w:rsid w:val="009A0037"/>
    <w:rsid w:val="009A115B"/>
    <w:rsid w:val="009A1D47"/>
    <w:rsid w:val="009A2697"/>
    <w:rsid w:val="009A363F"/>
    <w:rsid w:val="009A3E42"/>
    <w:rsid w:val="009B156F"/>
    <w:rsid w:val="009B1C2A"/>
    <w:rsid w:val="009B78E2"/>
    <w:rsid w:val="009C45ED"/>
    <w:rsid w:val="009C493E"/>
    <w:rsid w:val="009D14A5"/>
    <w:rsid w:val="009D162F"/>
    <w:rsid w:val="009D1888"/>
    <w:rsid w:val="009D24D6"/>
    <w:rsid w:val="009D2A2D"/>
    <w:rsid w:val="009D3227"/>
    <w:rsid w:val="009D4C90"/>
    <w:rsid w:val="009D791D"/>
    <w:rsid w:val="009E0632"/>
    <w:rsid w:val="009E09FC"/>
    <w:rsid w:val="009E3F2D"/>
    <w:rsid w:val="009E63FE"/>
    <w:rsid w:val="009F039E"/>
    <w:rsid w:val="009F2997"/>
    <w:rsid w:val="009F36BA"/>
    <w:rsid w:val="009F683F"/>
    <w:rsid w:val="00A0278A"/>
    <w:rsid w:val="00A04035"/>
    <w:rsid w:val="00A0407D"/>
    <w:rsid w:val="00A04AF9"/>
    <w:rsid w:val="00A0646F"/>
    <w:rsid w:val="00A12406"/>
    <w:rsid w:val="00A16E96"/>
    <w:rsid w:val="00A26108"/>
    <w:rsid w:val="00A269B0"/>
    <w:rsid w:val="00A30171"/>
    <w:rsid w:val="00A30E52"/>
    <w:rsid w:val="00A322B2"/>
    <w:rsid w:val="00A33064"/>
    <w:rsid w:val="00A3343D"/>
    <w:rsid w:val="00A33B4C"/>
    <w:rsid w:val="00A40121"/>
    <w:rsid w:val="00A417DA"/>
    <w:rsid w:val="00A4204D"/>
    <w:rsid w:val="00A4461D"/>
    <w:rsid w:val="00A454B2"/>
    <w:rsid w:val="00A46041"/>
    <w:rsid w:val="00A46301"/>
    <w:rsid w:val="00A5178F"/>
    <w:rsid w:val="00A53223"/>
    <w:rsid w:val="00A548F7"/>
    <w:rsid w:val="00A64128"/>
    <w:rsid w:val="00A64AAD"/>
    <w:rsid w:val="00A67E29"/>
    <w:rsid w:val="00A709FD"/>
    <w:rsid w:val="00A74139"/>
    <w:rsid w:val="00A7635C"/>
    <w:rsid w:val="00A813C0"/>
    <w:rsid w:val="00A82028"/>
    <w:rsid w:val="00A84E9D"/>
    <w:rsid w:val="00A85AAE"/>
    <w:rsid w:val="00A85FAD"/>
    <w:rsid w:val="00A87C6E"/>
    <w:rsid w:val="00A92219"/>
    <w:rsid w:val="00A952FB"/>
    <w:rsid w:val="00A970A3"/>
    <w:rsid w:val="00AA051D"/>
    <w:rsid w:val="00AA2733"/>
    <w:rsid w:val="00AA6712"/>
    <w:rsid w:val="00AB130B"/>
    <w:rsid w:val="00AB2CB2"/>
    <w:rsid w:val="00AB39FC"/>
    <w:rsid w:val="00AC065D"/>
    <w:rsid w:val="00AC2378"/>
    <w:rsid w:val="00AC4180"/>
    <w:rsid w:val="00AC42DA"/>
    <w:rsid w:val="00AD1E87"/>
    <w:rsid w:val="00AD52AD"/>
    <w:rsid w:val="00AD5C84"/>
    <w:rsid w:val="00AD6D90"/>
    <w:rsid w:val="00AD78DA"/>
    <w:rsid w:val="00AE0ACB"/>
    <w:rsid w:val="00AE20B3"/>
    <w:rsid w:val="00AE3EDD"/>
    <w:rsid w:val="00AE4A13"/>
    <w:rsid w:val="00AF2D31"/>
    <w:rsid w:val="00AF3262"/>
    <w:rsid w:val="00AF7279"/>
    <w:rsid w:val="00B0783F"/>
    <w:rsid w:val="00B10FE3"/>
    <w:rsid w:val="00B11E1C"/>
    <w:rsid w:val="00B143E6"/>
    <w:rsid w:val="00B21CC2"/>
    <w:rsid w:val="00B22EEA"/>
    <w:rsid w:val="00B23ACD"/>
    <w:rsid w:val="00B24D2C"/>
    <w:rsid w:val="00B2562A"/>
    <w:rsid w:val="00B30FEE"/>
    <w:rsid w:val="00B31981"/>
    <w:rsid w:val="00B31A14"/>
    <w:rsid w:val="00B31B8D"/>
    <w:rsid w:val="00B32E50"/>
    <w:rsid w:val="00B34EDB"/>
    <w:rsid w:val="00B42CDF"/>
    <w:rsid w:val="00B431FC"/>
    <w:rsid w:val="00B43599"/>
    <w:rsid w:val="00B44C80"/>
    <w:rsid w:val="00B45721"/>
    <w:rsid w:val="00B47A6F"/>
    <w:rsid w:val="00B546B8"/>
    <w:rsid w:val="00B56556"/>
    <w:rsid w:val="00B575EB"/>
    <w:rsid w:val="00B61329"/>
    <w:rsid w:val="00B61B09"/>
    <w:rsid w:val="00B62A48"/>
    <w:rsid w:val="00B6531E"/>
    <w:rsid w:val="00B70979"/>
    <w:rsid w:val="00B73D49"/>
    <w:rsid w:val="00B73F4C"/>
    <w:rsid w:val="00B744F4"/>
    <w:rsid w:val="00B749E5"/>
    <w:rsid w:val="00B750A7"/>
    <w:rsid w:val="00B75749"/>
    <w:rsid w:val="00B7604D"/>
    <w:rsid w:val="00B768F0"/>
    <w:rsid w:val="00B76F9A"/>
    <w:rsid w:val="00B80080"/>
    <w:rsid w:val="00B81E33"/>
    <w:rsid w:val="00B85240"/>
    <w:rsid w:val="00B85A36"/>
    <w:rsid w:val="00B86363"/>
    <w:rsid w:val="00B873E7"/>
    <w:rsid w:val="00B874EA"/>
    <w:rsid w:val="00B9012A"/>
    <w:rsid w:val="00B91748"/>
    <w:rsid w:val="00B91E48"/>
    <w:rsid w:val="00B9524D"/>
    <w:rsid w:val="00BB045C"/>
    <w:rsid w:val="00BB2307"/>
    <w:rsid w:val="00BB3790"/>
    <w:rsid w:val="00BC3C55"/>
    <w:rsid w:val="00BC7671"/>
    <w:rsid w:val="00BC7DAB"/>
    <w:rsid w:val="00BD19C1"/>
    <w:rsid w:val="00BD3457"/>
    <w:rsid w:val="00BD36DD"/>
    <w:rsid w:val="00BD4294"/>
    <w:rsid w:val="00BD62A4"/>
    <w:rsid w:val="00BD768F"/>
    <w:rsid w:val="00BD7A5C"/>
    <w:rsid w:val="00BE02BF"/>
    <w:rsid w:val="00BE088C"/>
    <w:rsid w:val="00BE1980"/>
    <w:rsid w:val="00BE250C"/>
    <w:rsid w:val="00BE3B4B"/>
    <w:rsid w:val="00BE5280"/>
    <w:rsid w:val="00BE5DBA"/>
    <w:rsid w:val="00BE7056"/>
    <w:rsid w:val="00BF0DB3"/>
    <w:rsid w:val="00BF1797"/>
    <w:rsid w:val="00BF1C85"/>
    <w:rsid w:val="00BF2A96"/>
    <w:rsid w:val="00BF3DB3"/>
    <w:rsid w:val="00BF46D6"/>
    <w:rsid w:val="00BF5631"/>
    <w:rsid w:val="00C01515"/>
    <w:rsid w:val="00C01E39"/>
    <w:rsid w:val="00C027D4"/>
    <w:rsid w:val="00C05311"/>
    <w:rsid w:val="00C0795E"/>
    <w:rsid w:val="00C07B47"/>
    <w:rsid w:val="00C102E7"/>
    <w:rsid w:val="00C135B8"/>
    <w:rsid w:val="00C13D6E"/>
    <w:rsid w:val="00C14FEE"/>
    <w:rsid w:val="00C15D26"/>
    <w:rsid w:val="00C168AB"/>
    <w:rsid w:val="00C20108"/>
    <w:rsid w:val="00C20CB7"/>
    <w:rsid w:val="00C21161"/>
    <w:rsid w:val="00C226D2"/>
    <w:rsid w:val="00C22848"/>
    <w:rsid w:val="00C24070"/>
    <w:rsid w:val="00C26929"/>
    <w:rsid w:val="00C343B9"/>
    <w:rsid w:val="00C402ED"/>
    <w:rsid w:val="00C4125F"/>
    <w:rsid w:val="00C4134F"/>
    <w:rsid w:val="00C41FE4"/>
    <w:rsid w:val="00C42A6F"/>
    <w:rsid w:val="00C43623"/>
    <w:rsid w:val="00C457C4"/>
    <w:rsid w:val="00C45D66"/>
    <w:rsid w:val="00C513A9"/>
    <w:rsid w:val="00C521C9"/>
    <w:rsid w:val="00C54D01"/>
    <w:rsid w:val="00C55708"/>
    <w:rsid w:val="00C630B6"/>
    <w:rsid w:val="00C6390B"/>
    <w:rsid w:val="00C63CA6"/>
    <w:rsid w:val="00C67B67"/>
    <w:rsid w:val="00C721FE"/>
    <w:rsid w:val="00C740F1"/>
    <w:rsid w:val="00C749E9"/>
    <w:rsid w:val="00C7744D"/>
    <w:rsid w:val="00C81EEC"/>
    <w:rsid w:val="00C83324"/>
    <w:rsid w:val="00C841B2"/>
    <w:rsid w:val="00C845C4"/>
    <w:rsid w:val="00C924B6"/>
    <w:rsid w:val="00C9275E"/>
    <w:rsid w:val="00C942CA"/>
    <w:rsid w:val="00C9543C"/>
    <w:rsid w:val="00C95F35"/>
    <w:rsid w:val="00C96092"/>
    <w:rsid w:val="00C97D80"/>
    <w:rsid w:val="00CA1D63"/>
    <w:rsid w:val="00CA26F8"/>
    <w:rsid w:val="00CA2742"/>
    <w:rsid w:val="00CA6FC2"/>
    <w:rsid w:val="00CB064C"/>
    <w:rsid w:val="00CB47CC"/>
    <w:rsid w:val="00CB5710"/>
    <w:rsid w:val="00CB63E4"/>
    <w:rsid w:val="00CC2409"/>
    <w:rsid w:val="00CC2452"/>
    <w:rsid w:val="00CC5681"/>
    <w:rsid w:val="00CC66B1"/>
    <w:rsid w:val="00CC7133"/>
    <w:rsid w:val="00CC751F"/>
    <w:rsid w:val="00CC753D"/>
    <w:rsid w:val="00CD05D4"/>
    <w:rsid w:val="00CD28C3"/>
    <w:rsid w:val="00CD6DBB"/>
    <w:rsid w:val="00CE1194"/>
    <w:rsid w:val="00CE1D9B"/>
    <w:rsid w:val="00CE27BE"/>
    <w:rsid w:val="00CE2E48"/>
    <w:rsid w:val="00CE394F"/>
    <w:rsid w:val="00CE3F93"/>
    <w:rsid w:val="00CE4FD7"/>
    <w:rsid w:val="00CE53E8"/>
    <w:rsid w:val="00CE58F4"/>
    <w:rsid w:val="00CE6EF5"/>
    <w:rsid w:val="00CF1FC8"/>
    <w:rsid w:val="00CF2CDD"/>
    <w:rsid w:val="00CF37D4"/>
    <w:rsid w:val="00CF4096"/>
    <w:rsid w:val="00CF74DA"/>
    <w:rsid w:val="00CF7BD7"/>
    <w:rsid w:val="00CF7E85"/>
    <w:rsid w:val="00D02BF7"/>
    <w:rsid w:val="00D04CFB"/>
    <w:rsid w:val="00D055C9"/>
    <w:rsid w:val="00D05AC0"/>
    <w:rsid w:val="00D05D5E"/>
    <w:rsid w:val="00D1693A"/>
    <w:rsid w:val="00D2172A"/>
    <w:rsid w:val="00D21CBF"/>
    <w:rsid w:val="00D22791"/>
    <w:rsid w:val="00D23C0A"/>
    <w:rsid w:val="00D26444"/>
    <w:rsid w:val="00D31684"/>
    <w:rsid w:val="00D3302D"/>
    <w:rsid w:val="00D330E6"/>
    <w:rsid w:val="00D3545E"/>
    <w:rsid w:val="00D35FA0"/>
    <w:rsid w:val="00D360C7"/>
    <w:rsid w:val="00D41663"/>
    <w:rsid w:val="00D44609"/>
    <w:rsid w:val="00D44789"/>
    <w:rsid w:val="00D44F68"/>
    <w:rsid w:val="00D459E4"/>
    <w:rsid w:val="00D5078E"/>
    <w:rsid w:val="00D50990"/>
    <w:rsid w:val="00D51D98"/>
    <w:rsid w:val="00D53955"/>
    <w:rsid w:val="00D55A40"/>
    <w:rsid w:val="00D56BDB"/>
    <w:rsid w:val="00D61C2C"/>
    <w:rsid w:val="00D61C68"/>
    <w:rsid w:val="00D708F4"/>
    <w:rsid w:val="00D71EDE"/>
    <w:rsid w:val="00D721DC"/>
    <w:rsid w:val="00D75511"/>
    <w:rsid w:val="00D75B51"/>
    <w:rsid w:val="00D85294"/>
    <w:rsid w:val="00D867E3"/>
    <w:rsid w:val="00D86E12"/>
    <w:rsid w:val="00D86E23"/>
    <w:rsid w:val="00D87352"/>
    <w:rsid w:val="00D87E1D"/>
    <w:rsid w:val="00D92C11"/>
    <w:rsid w:val="00D92FBD"/>
    <w:rsid w:val="00D97279"/>
    <w:rsid w:val="00DA07E9"/>
    <w:rsid w:val="00DA185C"/>
    <w:rsid w:val="00DA1E62"/>
    <w:rsid w:val="00DA367A"/>
    <w:rsid w:val="00DA4198"/>
    <w:rsid w:val="00DA44E6"/>
    <w:rsid w:val="00DA5C65"/>
    <w:rsid w:val="00DA5D88"/>
    <w:rsid w:val="00DA6348"/>
    <w:rsid w:val="00DB2F8B"/>
    <w:rsid w:val="00DC0564"/>
    <w:rsid w:val="00DC0684"/>
    <w:rsid w:val="00DC1244"/>
    <w:rsid w:val="00DC675B"/>
    <w:rsid w:val="00DC6A26"/>
    <w:rsid w:val="00DD22BA"/>
    <w:rsid w:val="00DD39BA"/>
    <w:rsid w:val="00DD3E3A"/>
    <w:rsid w:val="00DD48CA"/>
    <w:rsid w:val="00DD4C41"/>
    <w:rsid w:val="00DD4E08"/>
    <w:rsid w:val="00DD5A2E"/>
    <w:rsid w:val="00DD5A7E"/>
    <w:rsid w:val="00DD6023"/>
    <w:rsid w:val="00DD6032"/>
    <w:rsid w:val="00DD6DC0"/>
    <w:rsid w:val="00DD7155"/>
    <w:rsid w:val="00DD745A"/>
    <w:rsid w:val="00DD79CC"/>
    <w:rsid w:val="00DE56DF"/>
    <w:rsid w:val="00DE57CA"/>
    <w:rsid w:val="00DF0689"/>
    <w:rsid w:val="00DF322F"/>
    <w:rsid w:val="00DF33AE"/>
    <w:rsid w:val="00DF68A9"/>
    <w:rsid w:val="00DF7E39"/>
    <w:rsid w:val="00E036D1"/>
    <w:rsid w:val="00E05218"/>
    <w:rsid w:val="00E10603"/>
    <w:rsid w:val="00E13FEC"/>
    <w:rsid w:val="00E152B3"/>
    <w:rsid w:val="00E152F1"/>
    <w:rsid w:val="00E169E2"/>
    <w:rsid w:val="00E22696"/>
    <w:rsid w:val="00E233C0"/>
    <w:rsid w:val="00E26193"/>
    <w:rsid w:val="00E265FF"/>
    <w:rsid w:val="00E26934"/>
    <w:rsid w:val="00E30F2A"/>
    <w:rsid w:val="00E311D9"/>
    <w:rsid w:val="00E32F98"/>
    <w:rsid w:val="00E3422E"/>
    <w:rsid w:val="00E36C56"/>
    <w:rsid w:val="00E375B2"/>
    <w:rsid w:val="00E40FE0"/>
    <w:rsid w:val="00E435C1"/>
    <w:rsid w:val="00E441F9"/>
    <w:rsid w:val="00E4497E"/>
    <w:rsid w:val="00E47BA8"/>
    <w:rsid w:val="00E53FC0"/>
    <w:rsid w:val="00E54083"/>
    <w:rsid w:val="00E540A0"/>
    <w:rsid w:val="00E55448"/>
    <w:rsid w:val="00E6164A"/>
    <w:rsid w:val="00E646AC"/>
    <w:rsid w:val="00E659FE"/>
    <w:rsid w:val="00E7133F"/>
    <w:rsid w:val="00E71FCD"/>
    <w:rsid w:val="00E748E6"/>
    <w:rsid w:val="00E74E69"/>
    <w:rsid w:val="00E76699"/>
    <w:rsid w:val="00E776DF"/>
    <w:rsid w:val="00E80700"/>
    <w:rsid w:val="00E9037E"/>
    <w:rsid w:val="00E92D47"/>
    <w:rsid w:val="00E95B22"/>
    <w:rsid w:val="00E96F47"/>
    <w:rsid w:val="00EA0065"/>
    <w:rsid w:val="00EA46A0"/>
    <w:rsid w:val="00EA46C0"/>
    <w:rsid w:val="00EA5A64"/>
    <w:rsid w:val="00EA63D3"/>
    <w:rsid w:val="00EA6868"/>
    <w:rsid w:val="00EB0578"/>
    <w:rsid w:val="00EB3021"/>
    <w:rsid w:val="00EC1FF3"/>
    <w:rsid w:val="00EC4114"/>
    <w:rsid w:val="00EC53AC"/>
    <w:rsid w:val="00ED089B"/>
    <w:rsid w:val="00ED10F1"/>
    <w:rsid w:val="00ED3604"/>
    <w:rsid w:val="00ED42E9"/>
    <w:rsid w:val="00ED4875"/>
    <w:rsid w:val="00EE0389"/>
    <w:rsid w:val="00EE042D"/>
    <w:rsid w:val="00EE18AE"/>
    <w:rsid w:val="00EF0C36"/>
    <w:rsid w:val="00EF1E50"/>
    <w:rsid w:val="00EF23C3"/>
    <w:rsid w:val="00EF62E5"/>
    <w:rsid w:val="00EF73C1"/>
    <w:rsid w:val="00F01ECD"/>
    <w:rsid w:val="00F02FF9"/>
    <w:rsid w:val="00F03EA1"/>
    <w:rsid w:val="00F04A31"/>
    <w:rsid w:val="00F05DCF"/>
    <w:rsid w:val="00F06164"/>
    <w:rsid w:val="00F07847"/>
    <w:rsid w:val="00F11085"/>
    <w:rsid w:val="00F110E0"/>
    <w:rsid w:val="00F112B9"/>
    <w:rsid w:val="00F13D1D"/>
    <w:rsid w:val="00F147BA"/>
    <w:rsid w:val="00F162DF"/>
    <w:rsid w:val="00F171ED"/>
    <w:rsid w:val="00F206E7"/>
    <w:rsid w:val="00F218A3"/>
    <w:rsid w:val="00F23490"/>
    <w:rsid w:val="00F25AA1"/>
    <w:rsid w:val="00F302A0"/>
    <w:rsid w:val="00F323A7"/>
    <w:rsid w:val="00F33D87"/>
    <w:rsid w:val="00F424F0"/>
    <w:rsid w:val="00F44089"/>
    <w:rsid w:val="00F453A7"/>
    <w:rsid w:val="00F4616E"/>
    <w:rsid w:val="00F46D22"/>
    <w:rsid w:val="00F471C3"/>
    <w:rsid w:val="00F47AEF"/>
    <w:rsid w:val="00F52D63"/>
    <w:rsid w:val="00F52EBD"/>
    <w:rsid w:val="00F53E8C"/>
    <w:rsid w:val="00F54904"/>
    <w:rsid w:val="00F558E5"/>
    <w:rsid w:val="00F563BA"/>
    <w:rsid w:val="00F57209"/>
    <w:rsid w:val="00F572FF"/>
    <w:rsid w:val="00F61B5D"/>
    <w:rsid w:val="00F61DF0"/>
    <w:rsid w:val="00F62C4B"/>
    <w:rsid w:val="00F643D0"/>
    <w:rsid w:val="00F64630"/>
    <w:rsid w:val="00F6637F"/>
    <w:rsid w:val="00F66EAC"/>
    <w:rsid w:val="00F670C3"/>
    <w:rsid w:val="00F67D26"/>
    <w:rsid w:val="00F70CBE"/>
    <w:rsid w:val="00F72463"/>
    <w:rsid w:val="00F735D9"/>
    <w:rsid w:val="00F73D35"/>
    <w:rsid w:val="00F7558B"/>
    <w:rsid w:val="00F76A7A"/>
    <w:rsid w:val="00F80727"/>
    <w:rsid w:val="00F82EF9"/>
    <w:rsid w:val="00F830C4"/>
    <w:rsid w:val="00F83D11"/>
    <w:rsid w:val="00F84DF8"/>
    <w:rsid w:val="00F8528B"/>
    <w:rsid w:val="00F87BD9"/>
    <w:rsid w:val="00F906C8"/>
    <w:rsid w:val="00F90919"/>
    <w:rsid w:val="00F911D7"/>
    <w:rsid w:val="00FA1586"/>
    <w:rsid w:val="00FA1664"/>
    <w:rsid w:val="00FA2BE6"/>
    <w:rsid w:val="00FA4A89"/>
    <w:rsid w:val="00FA7C46"/>
    <w:rsid w:val="00FA7DF4"/>
    <w:rsid w:val="00FA7EA8"/>
    <w:rsid w:val="00FB157C"/>
    <w:rsid w:val="00FB24F2"/>
    <w:rsid w:val="00FB2B51"/>
    <w:rsid w:val="00FB308E"/>
    <w:rsid w:val="00FC392F"/>
    <w:rsid w:val="00FC516E"/>
    <w:rsid w:val="00FC6BEC"/>
    <w:rsid w:val="00FD2D8D"/>
    <w:rsid w:val="00FD2EAB"/>
    <w:rsid w:val="00FD3E09"/>
    <w:rsid w:val="00FD53AC"/>
    <w:rsid w:val="00FD55A2"/>
    <w:rsid w:val="00FE19EB"/>
    <w:rsid w:val="00FE2587"/>
    <w:rsid w:val="00FE275B"/>
    <w:rsid w:val="00FE4F07"/>
    <w:rsid w:val="00FF0065"/>
    <w:rsid w:val="00FF0263"/>
    <w:rsid w:val="00FF0C61"/>
    <w:rsid w:val="00FF1842"/>
    <w:rsid w:val="00FF3B4B"/>
    <w:rsid w:val="00FF45C9"/>
    <w:rsid w:val="00FF4FAC"/>
    <w:rsid w:val="00FF57C4"/>
    <w:rsid w:val="00FF62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E5C45"/>
    <w:rPr>
      <w:rFonts w:ascii="Tahoma" w:hAnsi="Tahoma" w:cs="Tahoma"/>
      <w:sz w:val="16"/>
      <w:szCs w:val="16"/>
    </w:rPr>
  </w:style>
  <w:style w:type="character" w:customStyle="1" w:styleId="BallontekstChar">
    <w:name w:val="Ballontekst Char"/>
    <w:basedOn w:val="Standaardalinea-lettertype"/>
    <w:link w:val="Ballontekst"/>
    <w:uiPriority w:val="99"/>
    <w:semiHidden/>
    <w:rsid w:val="003E5C4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3E5C45"/>
    <w:rPr>
      <w:rFonts w:ascii="Tahoma" w:hAnsi="Tahoma" w:cs="Tahoma"/>
      <w:sz w:val="16"/>
      <w:szCs w:val="16"/>
    </w:rPr>
  </w:style>
  <w:style w:type="character" w:customStyle="1" w:styleId="BallontekstChar">
    <w:name w:val="Ballontekst Char"/>
    <w:basedOn w:val="Standaardalinea-lettertype"/>
    <w:link w:val="Ballontekst"/>
    <w:uiPriority w:val="99"/>
    <w:semiHidden/>
    <w:rsid w:val="003E5C4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542484">
      <w:bodyDiv w:val="1"/>
      <w:marLeft w:val="0"/>
      <w:marRight w:val="0"/>
      <w:marTop w:val="0"/>
      <w:marBottom w:val="0"/>
      <w:divBdr>
        <w:top w:val="none" w:sz="0" w:space="0" w:color="auto"/>
        <w:left w:val="none" w:sz="0" w:space="0" w:color="auto"/>
        <w:bottom w:val="none" w:sz="0" w:space="0" w:color="auto"/>
        <w:right w:val="none" w:sz="0" w:space="0" w:color="auto"/>
      </w:divBdr>
      <w:divsChild>
        <w:div w:id="146211773">
          <w:marLeft w:val="0"/>
          <w:marRight w:val="0"/>
          <w:marTop w:val="0"/>
          <w:marBottom w:val="0"/>
          <w:divBdr>
            <w:top w:val="none" w:sz="0" w:space="0" w:color="auto"/>
            <w:left w:val="none" w:sz="0" w:space="0" w:color="auto"/>
            <w:bottom w:val="none" w:sz="0" w:space="0" w:color="auto"/>
            <w:right w:val="none" w:sz="0" w:space="0" w:color="auto"/>
          </w:divBdr>
          <w:divsChild>
            <w:div w:id="1012948235">
              <w:marLeft w:val="0"/>
              <w:marRight w:val="0"/>
              <w:marTop w:val="0"/>
              <w:marBottom w:val="0"/>
              <w:divBdr>
                <w:top w:val="none" w:sz="0" w:space="0" w:color="auto"/>
                <w:left w:val="none" w:sz="0" w:space="0" w:color="auto"/>
                <w:bottom w:val="none" w:sz="0" w:space="0" w:color="auto"/>
                <w:right w:val="none" w:sz="0" w:space="0" w:color="auto"/>
              </w:divBdr>
              <w:divsChild>
                <w:div w:id="979918665">
                  <w:marLeft w:val="0"/>
                  <w:marRight w:val="0"/>
                  <w:marTop w:val="0"/>
                  <w:marBottom w:val="0"/>
                  <w:divBdr>
                    <w:top w:val="none" w:sz="0" w:space="0" w:color="auto"/>
                    <w:left w:val="single" w:sz="6" w:space="0" w:color="CCCCCC"/>
                    <w:bottom w:val="single" w:sz="12" w:space="0" w:color="CCCCCC"/>
                    <w:right w:val="single" w:sz="6" w:space="0" w:color="CCCCCC"/>
                  </w:divBdr>
                  <w:divsChild>
                    <w:div w:id="542861681">
                      <w:marLeft w:val="0"/>
                      <w:marRight w:val="0"/>
                      <w:marTop w:val="0"/>
                      <w:marBottom w:val="0"/>
                      <w:divBdr>
                        <w:top w:val="none" w:sz="0" w:space="0" w:color="auto"/>
                        <w:left w:val="none" w:sz="0" w:space="0" w:color="auto"/>
                        <w:bottom w:val="none" w:sz="0" w:space="0" w:color="auto"/>
                        <w:right w:val="none" w:sz="0" w:space="0" w:color="auto"/>
                      </w:divBdr>
                      <w:divsChild>
                        <w:div w:id="713425754">
                          <w:marLeft w:val="0"/>
                          <w:marRight w:val="0"/>
                          <w:marTop w:val="0"/>
                          <w:marBottom w:val="0"/>
                          <w:divBdr>
                            <w:top w:val="none" w:sz="0" w:space="0" w:color="auto"/>
                            <w:left w:val="none" w:sz="0" w:space="0" w:color="auto"/>
                            <w:bottom w:val="none" w:sz="0" w:space="0" w:color="auto"/>
                            <w:right w:val="none" w:sz="0" w:space="0" w:color="auto"/>
                          </w:divBdr>
                          <w:divsChild>
                            <w:div w:id="377439978">
                              <w:marLeft w:val="0"/>
                              <w:marRight w:val="0"/>
                              <w:marTop w:val="0"/>
                              <w:marBottom w:val="0"/>
                              <w:divBdr>
                                <w:top w:val="none" w:sz="0" w:space="0" w:color="auto"/>
                                <w:left w:val="none" w:sz="0" w:space="0" w:color="auto"/>
                                <w:bottom w:val="none" w:sz="0" w:space="0" w:color="auto"/>
                                <w:right w:val="none" w:sz="0" w:space="0" w:color="auto"/>
                              </w:divBdr>
                              <w:divsChild>
                                <w:div w:id="1292132713">
                                  <w:marLeft w:val="0"/>
                                  <w:marRight w:val="0"/>
                                  <w:marTop w:val="0"/>
                                  <w:marBottom w:val="0"/>
                                  <w:divBdr>
                                    <w:top w:val="none" w:sz="0" w:space="0" w:color="auto"/>
                                    <w:left w:val="none" w:sz="0" w:space="0" w:color="auto"/>
                                    <w:bottom w:val="none" w:sz="0" w:space="0" w:color="auto"/>
                                    <w:right w:val="none" w:sz="0" w:space="0" w:color="auto"/>
                                  </w:divBdr>
                                  <w:divsChild>
                                    <w:div w:id="1743943250">
                                      <w:marLeft w:val="0"/>
                                      <w:marRight w:val="0"/>
                                      <w:marTop w:val="0"/>
                                      <w:marBottom w:val="0"/>
                                      <w:divBdr>
                                        <w:top w:val="none" w:sz="0" w:space="0" w:color="auto"/>
                                        <w:left w:val="none" w:sz="0" w:space="0" w:color="auto"/>
                                        <w:bottom w:val="none" w:sz="0" w:space="0" w:color="auto"/>
                                        <w:right w:val="none" w:sz="0" w:space="0" w:color="auto"/>
                                      </w:divBdr>
                                      <w:divsChild>
                                        <w:div w:id="701829481">
                                          <w:marLeft w:val="0"/>
                                          <w:marRight w:val="0"/>
                                          <w:marTop w:val="0"/>
                                          <w:marBottom w:val="0"/>
                                          <w:divBdr>
                                            <w:top w:val="none" w:sz="0" w:space="0" w:color="auto"/>
                                            <w:left w:val="none" w:sz="0" w:space="0" w:color="auto"/>
                                            <w:bottom w:val="none" w:sz="0" w:space="0" w:color="auto"/>
                                            <w:right w:val="none" w:sz="0" w:space="0" w:color="auto"/>
                                          </w:divBdr>
                                          <w:divsChild>
                                            <w:div w:id="497231645">
                                              <w:marLeft w:val="0"/>
                                              <w:marRight w:val="450"/>
                                              <w:marTop w:val="0"/>
                                              <w:marBottom w:val="0"/>
                                              <w:divBdr>
                                                <w:top w:val="none" w:sz="0" w:space="0" w:color="auto"/>
                                                <w:left w:val="none" w:sz="0" w:space="0" w:color="auto"/>
                                                <w:bottom w:val="none" w:sz="0" w:space="0" w:color="auto"/>
                                                <w:right w:val="none" w:sz="0" w:space="0" w:color="auto"/>
                                              </w:divBdr>
                                              <w:divsChild>
                                                <w:div w:id="1036587480">
                                                  <w:marLeft w:val="0"/>
                                                  <w:marRight w:val="0"/>
                                                  <w:marTop w:val="0"/>
                                                  <w:marBottom w:val="0"/>
                                                  <w:divBdr>
                                                    <w:top w:val="none" w:sz="0" w:space="0" w:color="auto"/>
                                                    <w:left w:val="none" w:sz="0" w:space="0" w:color="auto"/>
                                                    <w:bottom w:val="none" w:sz="0" w:space="0" w:color="auto"/>
                                                    <w:right w:val="none" w:sz="0" w:space="0" w:color="auto"/>
                                                  </w:divBdr>
                                                  <w:divsChild>
                                                    <w:div w:id="1734426783">
                                                      <w:marLeft w:val="0"/>
                                                      <w:marRight w:val="0"/>
                                                      <w:marTop w:val="0"/>
                                                      <w:marBottom w:val="0"/>
                                                      <w:divBdr>
                                                        <w:top w:val="none" w:sz="0" w:space="0" w:color="auto"/>
                                                        <w:left w:val="none" w:sz="0" w:space="0" w:color="auto"/>
                                                        <w:bottom w:val="none" w:sz="0" w:space="0" w:color="auto"/>
                                                        <w:right w:val="none" w:sz="0" w:space="0" w:color="auto"/>
                                                      </w:divBdr>
                                                      <w:divsChild>
                                                        <w:div w:id="747768268">
                                                          <w:marLeft w:val="0"/>
                                                          <w:marRight w:val="0"/>
                                                          <w:marTop w:val="0"/>
                                                          <w:marBottom w:val="0"/>
                                                          <w:divBdr>
                                                            <w:top w:val="none" w:sz="0" w:space="0" w:color="auto"/>
                                                            <w:left w:val="none" w:sz="0" w:space="0" w:color="auto"/>
                                                            <w:bottom w:val="none" w:sz="0" w:space="0" w:color="auto"/>
                                                            <w:right w:val="none" w:sz="0" w:space="0" w:color="auto"/>
                                                          </w:divBdr>
                                                          <w:divsChild>
                                                            <w:div w:id="827942049">
                                                              <w:marLeft w:val="0"/>
                                                              <w:marRight w:val="0"/>
                                                              <w:marTop w:val="0"/>
                                                              <w:marBottom w:val="0"/>
                                                              <w:divBdr>
                                                                <w:top w:val="none" w:sz="0" w:space="0" w:color="auto"/>
                                                                <w:left w:val="none" w:sz="0" w:space="0" w:color="auto"/>
                                                                <w:bottom w:val="none" w:sz="0" w:space="0" w:color="auto"/>
                                                                <w:right w:val="none" w:sz="0" w:space="0" w:color="auto"/>
                                                              </w:divBdr>
                                                              <w:divsChild>
                                                                <w:div w:id="371810615">
                                                                  <w:marLeft w:val="0"/>
                                                                  <w:marRight w:val="0"/>
                                                                  <w:marTop w:val="0"/>
                                                                  <w:marBottom w:val="0"/>
                                                                  <w:divBdr>
                                                                    <w:top w:val="none" w:sz="0" w:space="0" w:color="auto"/>
                                                                    <w:left w:val="none" w:sz="0" w:space="0" w:color="auto"/>
                                                                    <w:bottom w:val="none" w:sz="0" w:space="0" w:color="auto"/>
                                                                    <w:right w:val="none" w:sz="0" w:space="0" w:color="auto"/>
                                                                  </w:divBdr>
                                                                  <w:divsChild>
                                                                    <w:div w:id="2169838">
                                                                      <w:marLeft w:val="0"/>
                                                                      <w:marRight w:val="0"/>
                                                                      <w:marTop w:val="0"/>
                                                                      <w:marBottom w:val="0"/>
                                                                      <w:divBdr>
                                                                        <w:top w:val="none" w:sz="0" w:space="0" w:color="auto"/>
                                                                        <w:left w:val="none" w:sz="0" w:space="0" w:color="auto"/>
                                                                        <w:bottom w:val="none" w:sz="0" w:space="0" w:color="auto"/>
                                                                        <w:right w:val="none" w:sz="0" w:space="0" w:color="auto"/>
                                                                      </w:divBdr>
                                                                      <w:divsChild>
                                                                        <w:div w:id="640427698">
                                                                          <w:marLeft w:val="0"/>
                                                                          <w:marRight w:val="0"/>
                                                                          <w:marTop w:val="0"/>
                                                                          <w:marBottom w:val="360"/>
                                                                          <w:divBdr>
                                                                            <w:top w:val="none" w:sz="0" w:space="0" w:color="auto"/>
                                                                            <w:left w:val="none" w:sz="0" w:space="0" w:color="auto"/>
                                                                            <w:bottom w:val="none" w:sz="0" w:space="0" w:color="auto"/>
                                                                            <w:right w:val="none" w:sz="0" w:space="0" w:color="auto"/>
                                                                          </w:divBdr>
                                                                          <w:divsChild>
                                                                            <w:div w:id="1763452678">
                                                                              <w:marLeft w:val="0"/>
                                                                              <w:marRight w:val="0"/>
                                                                              <w:marTop w:val="0"/>
                                                                              <w:marBottom w:val="0"/>
                                                                              <w:divBdr>
                                                                                <w:top w:val="none" w:sz="0" w:space="0" w:color="auto"/>
                                                                                <w:left w:val="none" w:sz="0" w:space="0" w:color="auto"/>
                                                                                <w:bottom w:val="none" w:sz="0" w:space="0" w:color="auto"/>
                                                                                <w:right w:val="none" w:sz="0" w:space="0" w:color="auto"/>
                                                                              </w:divBdr>
                                                                              <w:divsChild>
                                                                                <w:div w:id="542448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talsigns.worldwatch.org/" TargetMode="External"/><Relationship Id="rId3" Type="http://schemas.microsoft.com/office/2007/relationships/stylesWithEffects" Target="stylesWithEffects.xml"/><Relationship Id="rId7" Type="http://schemas.openxmlformats.org/officeDocument/2006/relationships/hyperlink" Target="http://vitalsigns.worldwatch.org/vs-trend/global-food-prices-continue-ri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orldwatch.org/users/sophie-wenzlau"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800</Words>
  <Characters>4406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dc:creator>
  <cp:lastModifiedBy>Bart</cp:lastModifiedBy>
  <cp:revision>1</cp:revision>
  <dcterms:created xsi:type="dcterms:W3CDTF">2013-04-11T17:46:00Z</dcterms:created>
  <dcterms:modified xsi:type="dcterms:W3CDTF">2013-04-11T17:51:00Z</dcterms:modified>
</cp:coreProperties>
</file>